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6.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01"/>
        <w:jc w:val="both"/>
        <w:rPr>
          <w:rFonts w:ascii="宋体" w:hAnsi="宋体" w:eastAsia="宋体" w:cs="宋体"/>
          <w:b/>
          <w:bCs/>
          <w:spacing w:val="20"/>
          <w:sz w:val="48"/>
          <w:szCs w:val="44"/>
          <w:lang w:val="en-US" w:eastAsia="zh-CN"/>
        </w:rPr>
      </w:pPr>
      <w:r>
        <w:rPr>
          <w:rFonts w:ascii="宋体" w:hAnsi="宋体" w:eastAsia="宋体" w:cs="宋体"/>
          <w:b/>
          <w:bCs/>
          <w:spacing w:val="20"/>
          <w:sz w:val="48"/>
          <w:szCs w:val="44"/>
          <w:lang w:val="en-US" w:eastAsia="zh-CN"/>
        </w:rPr>
      </w:r>
      <w:r/>
    </w:p>
    <w:p>
      <w:pPr>
        <w:pStyle w:val="801"/>
        <w:jc w:val="center"/>
        <w:rPr>
          <w:rFonts w:hint="eastAsia" w:ascii="宋体" w:hAnsi="宋体" w:eastAsia="宋体" w:cs="宋体"/>
          <w:b/>
          <w:bCs/>
          <w:spacing w:val="20"/>
          <w:sz w:val="32"/>
          <w:szCs w:val="32"/>
          <w:lang w:eastAsia="zh-CN"/>
        </w:rPr>
      </w:pPr>
      <w:r>
        <w:rPr>
          <w:rFonts w:hint="eastAsia" w:ascii="宋体" w:hAnsi="宋体" w:eastAsia="宋体" w:cs="宋体"/>
          <w:b/>
          <w:bCs/>
          <w:spacing w:val="20"/>
          <w:sz w:val="32"/>
          <w:szCs w:val="32"/>
        </w:rPr>
        <w:t xml:space="preserve">施桥二线船闸下游靠船墩专项养护改造项目</w:t>
      </w:r>
      <w:r>
        <w:rPr>
          <w:rFonts w:hint="eastAsia" w:ascii="宋体" w:hAnsi="宋体" w:eastAsia="宋体" w:cs="宋体"/>
          <w:b/>
          <w:bCs/>
          <w:spacing w:val="20"/>
          <w:sz w:val="32"/>
          <w:szCs w:val="32"/>
          <w:lang w:eastAsia="zh-CN"/>
        </w:rPr>
        <w:t xml:space="preserve">（</w:t>
      </w:r>
      <w:r>
        <w:rPr>
          <w:rFonts w:hint="eastAsia" w:ascii="宋体" w:hAnsi="宋体" w:eastAsia="宋体" w:cs="宋体"/>
          <w:b/>
          <w:bCs/>
          <w:spacing w:val="20"/>
          <w:sz w:val="32"/>
          <w:szCs w:val="32"/>
          <w:lang w:val="en-US" w:eastAsia="zh-CN"/>
        </w:rPr>
        <w:t xml:space="preserve">二次</w:t>
      </w:r>
      <w:r>
        <w:rPr>
          <w:rFonts w:hint="eastAsia" w:ascii="宋体" w:hAnsi="宋体" w:eastAsia="宋体" w:cs="宋体"/>
          <w:b/>
          <w:bCs/>
          <w:spacing w:val="20"/>
          <w:sz w:val="32"/>
          <w:szCs w:val="32"/>
          <w:lang w:eastAsia="zh-CN"/>
        </w:rPr>
        <w:t xml:space="preserve">）</w:t>
      </w:r>
      <w:r>
        <w:rPr>
          <w:rFonts w:hint="eastAsia" w:ascii="宋体" w:hAnsi="宋体" w:eastAsia="宋体" w:cs="宋体"/>
          <w:b/>
          <w:bCs/>
          <w:spacing w:val="20"/>
          <w:sz w:val="32"/>
          <w:szCs w:val="32"/>
          <w:lang w:eastAsia="zh-CN"/>
        </w:rPr>
      </w:r>
      <w:r/>
    </w:p>
    <w:p>
      <w:pPr>
        <w:pStyle w:val="801"/>
        <w:jc w:val="center"/>
        <w:rPr>
          <w:rFonts w:hint="eastAsia" w:ascii="宋体" w:hAnsi="宋体" w:eastAsia="宋体" w:cs="宋体"/>
          <w:b/>
          <w:spacing w:val="100"/>
          <w:sz w:val="30"/>
        </w:rPr>
      </w:pPr>
      <w:r>
        <w:rPr>
          <w:rFonts w:hint="eastAsia" w:ascii="宋体" w:hAnsi="宋体" w:eastAsia="宋体" w:cs="宋体"/>
          <w:b/>
          <w:spacing w:val="100"/>
          <w:sz w:val="30"/>
        </w:rPr>
      </w:r>
      <w:r/>
    </w:p>
    <w:p>
      <w:pPr>
        <w:pStyle w:val="818"/>
        <w:rPr>
          <w:rFonts w:hint="eastAsia" w:ascii="宋体" w:hAnsi="宋体" w:eastAsia="宋体" w:cs="宋体"/>
        </w:rPr>
      </w:pPr>
      <w:r>
        <w:rPr>
          <w:rFonts w:hint="eastAsia" w:ascii="宋体" w:hAnsi="宋体" w:eastAsia="宋体" w:cs="宋体"/>
        </w:rPr>
      </w:r>
      <w:r/>
    </w:p>
    <w:p>
      <w:pPr>
        <w:pStyle w:val="818"/>
        <w:rPr>
          <w:rFonts w:hint="eastAsia" w:ascii="宋体" w:hAnsi="宋体" w:eastAsia="宋体" w:cs="宋体"/>
        </w:rPr>
      </w:pPr>
      <w:r>
        <w:rPr>
          <w:rFonts w:hint="eastAsia" w:ascii="宋体" w:hAnsi="宋体" w:eastAsia="宋体" w:cs="宋体"/>
        </w:rPr>
      </w:r>
      <w:r/>
    </w:p>
    <w:p>
      <w:pPr>
        <w:pStyle w:val="818"/>
        <w:rPr>
          <w:rFonts w:hint="eastAsia" w:ascii="宋体" w:hAnsi="宋体" w:eastAsia="宋体" w:cs="宋体"/>
        </w:rPr>
      </w:pPr>
      <w:r>
        <w:rPr>
          <w:rFonts w:hint="eastAsia" w:ascii="宋体" w:hAnsi="宋体" w:eastAsia="宋体" w:cs="宋体"/>
        </w:rPr>
      </w:r>
      <w:r/>
    </w:p>
    <w:p>
      <w:pPr>
        <w:pStyle w:val="818"/>
        <w:rPr>
          <w:rFonts w:hint="eastAsia" w:ascii="宋体" w:hAnsi="宋体" w:eastAsia="宋体" w:cs="宋体"/>
        </w:rPr>
      </w:pPr>
      <w:r>
        <w:rPr>
          <w:rFonts w:hint="eastAsia" w:ascii="宋体" w:hAnsi="宋体" w:eastAsia="宋体" w:cs="宋体"/>
        </w:rPr>
      </w:r>
      <w:r/>
    </w:p>
    <w:p>
      <w:pPr>
        <w:pStyle w:val="818"/>
        <w:rPr>
          <w:rFonts w:hint="eastAsia" w:ascii="宋体" w:hAnsi="宋体" w:eastAsia="宋体" w:cs="宋体"/>
        </w:rPr>
      </w:pPr>
      <w:r>
        <w:rPr>
          <w:rFonts w:hint="eastAsia" w:ascii="宋体" w:hAnsi="宋体" w:eastAsia="宋体" w:cs="宋体"/>
        </w:rPr>
      </w:r>
      <w:r/>
    </w:p>
    <w:p>
      <w:pPr>
        <w:pStyle w:val="801"/>
        <w:rPr>
          <w:rFonts w:hint="eastAsia" w:ascii="宋体" w:hAnsi="宋体" w:eastAsia="宋体" w:cs="宋体"/>
        </w:rPr>
      </w:pPr>
      <w:r>
        <w:rPr>
          <w:rFonts w:hint="eastAsia" w:ascii="宋体" w:hAnsi="宋体" w:eastAsia="宋体" w:cs="宋体"/>
        </w:rPr>
      </w:r>
      <w:r/>
    </w:p>
    <w:p>
      <w:pPr>
        <w:pStyle w:val="801"/>
        <w:jc w:val="center"/>
        <w:spacing w:before="120" w:after="120"/>
        <w:rPr>
          <w:rFonts w:hint="eastAsia" w:ascii="宋体" w:hAnsi="宋体" w:eastAsia="宋体" w:cs="宋体"/>
          <w:b/>
          <w:spacing w:val="60"/>
          <w:sz w:val="84"/>
          <w:szCs w:val="84"/>
        </w:rPr>
      </w:pPr>
      <w:r>
        <w:rPr>
          <w:rFonts w:hint="eastAsia" w:ascii="宋体" w:hAnsi="宋体" w:eastAsia="宋体" w:cs="宋体"/>
          <w:b/>
          <w:spacing w:val="60"/>
          <w:sz w:val="84"/>
          <w:szCs w:val="84"/>
        </w:rPr>
        <w:t xml:space="preserve">招</w:t>
      </w:r>
      <w:r>
        <w:rPr>
          <w:rFonts w:hint="eastAsia" w:ascii="宋体" w:hAnsi="宋体" w:eastAsia="宋体" w:cs="宋体"/>
          <w:b/>
          <w:spacing w:val="60"/>
          <w:sz w:val="84"/>
          <w:szCs w:val="84"/>
          <w:lang w:val="en-US" w:eastAsia="zh-CN"/>
        </w:rPr>
        <w:t xml:space="preserve"> </w:t>
      </w:r>
      <w:r>
        <w:rPr>
          <w:rFonts w:hint="eastAsia" w:ascii="宋体" w:hAnsi="宋体" w:eastAsia="宋体" w:cs="宋体"/>
          <w:b/>
          <w:spacing w:val="60"/>
          <w:sz w:val="84"/>
          <w:szCs w:val="84"/>
        </w:rPr>
        <w:t xml:space="preserve">标</w:t>
      </w:r>
      <w:r>
        <w:rPr>
          <w:rFonts w:hint="eastAsia" w:ascii="宋体" w:hAnsi="宋体" w:eastAsia="宋体" w:cs="宋体"/>
          <w:b/>
          <w:spacing w:val="60"/>
          <w:sz w:val="84"/>
          <w:szCs w:val="84"/>
          <w:lang w:val="en-US" w:eastAsia="zh-CN"/>
        </w:rPr>
        <w:t xml:space="preserve"> </w:t>
      </w:r>
      <w:r>
        <w:rPr>
          <w:rFonts w:hint="eastAsia" w:ascii="宋体" w:hAnsi="宋体" w:eastAsia="宋体" w:cs="宋体"/>
          <w:b/>
          <w:spacing w:val="60"/>
          <w:sz w:val="84"/>
          <w:szCs w:val="84"/>
        </w:rPr>
        <w:t xml:space="preserve">文</w:t>
      </w:r>
      <w:r>
        <w:rPr>
          <w:rFonts w:hint="eastAsia" w:ascii="宋体" w:hAnsi="宋体" w:eastAsia="宋体" w:cs="宋体"/>
          <w:b/>
          <w:spacing w:val="60"/>
          <w:sz w:val="84"/>
          <w:szCs w:val="84"/>
          <w:lang w:val="en-US" w:eastAsia="zh-CN"/>
        </w:rPr>
        <w:t xml:space="preserve"> </w:t>
      </w:r>
      <w:r>
        <w:rPr>
          <w:rFonts w:hint="eastAsia" w:ascii="宋体" w:hAnsi="宋体" w:eastAsia="宋体" w:cs="宋体"/>
          <w:b/>
          <w:spacing w:val="60"/>
          <w:sz w:val="84"/>
          <w:szCs w:val="84"/>
        </w:rPr>
        <w:t xml:space="preserve">件</w:t>
      </w:r>
      <w:r>
        <w:rPr>
          <w:rFonts w:hint="eastAsia" w:ascii="宋体" w:hAnsi="宋体" w:eastAsia="宋体" w:cs="宋体"/>
          <w:b/>
          <w:spacing w:val="60"/>
          <w:sz w:val="84"/>
          <w:szCs w:val="84"/>
        </w:rPr>
      </w:r>
      <w:r/>
    </w:p>
    <w:p>
      <w:pPr>
        <w:pStyle w:val="801"/>
        <w:jc w:val="center"/>
        <w:rPr>
          <w:rFonts w:hint="eastAsia" w:ascii="宋体" w:hAnsi="宋体" w:eastAsia="宋体" w:cs="宋体"/>
          <w:b/>
          <w:sz w:val="32"/>
          <w:szCs w:val="44"/>
        </w:rPr>
      </w:pPr>
      <w:r>
        <w:rPr>
          <w:rFonts w:hint="eastAsia" w:ascii="宋体" w:hAnsi="宋体" w:eastAsia="宋体" w:cs="宋体"/>
          <w:b/>
          <w:sz w:val="32"/>
          <w:szCs w:val="44"/>
        </w:rPr>
      </w:r>
      <w:r/>
    </w:p>
    <w:p>
      <w:pPr>
        <w:pStyle w:val="801"/>
        <w:jc w:val="center"/>
        <w:rPr>
          <w:rFonts w:hint="eastAsia" w:ascii="宋体" w:hAnsi="宋体" w:eastAsia="宋体" w:cs="宋体"/>
          <w:b/>
          <w:sz w:val="32"/>
          <w:szCs w:val="44"/>
        </w:rPr>
      </w:pPr>
      <w:r>
        <w:rPr>
          <w:rFonts w:hint="eastAsia" w:ascii="宋体" w:hAnsi="宋体" w:eastAsia="宋体" w:cs="宋体"/>
          <w:b/>
          <w:sz w:val="32"/>
          <w:szCs w:val="44"/>
        </w:rPr>
      </w:r>
      <w:r/>
    </w:p>
    <w:p>
      <w:pPr>
        <w:pStyle w:val="801"/>
        <w:jc w:val="center"/>
        <w:rPr>
          <w:rFonts w:hint="eastAsia" w:ascii="宋体" w:hAnsi="宋体" w:eastAsia="宋体" w:cs="宋体"/>
          <w:b/>
          <w:sz w:val="32"/>
          <w:szCs w:val="44"/>
        </w:rPr>
      </w:pPr>
      <w:r>
        <w:rPr>
          <w:rFonts w:hint="eastAsia" w:ascii="宋体" w:hAnsi="宋体" w:eastAsia="宋体" w:cs="宋体"/>
          <w:b/>
          <w:sz w:val="32"/>
          <w:szCs w:val="44"/>
        </w:rPr>
      </w:r>
      <w:r/>
    </w:p>
    <w:p>
      <w:pPr>
        <w:pStyle w:val="801"/>
        <w:jc w:val="center"/>
        <w:rPr>
          <w:rFonts w:hint="eastAsia" w:ascii="宋体" w:hAnsi="宋体" w:eastAsia="宋体" w:cs="宋体"/>
          <w:b/>
          <w:sz w:val="32"/>
          <w:szCs w:val="44"/>
        </w:rPr>
      </w:pPr>
      <w:r>
        <w:rPr>
          <w:rFonts w:hint="eastAsia" w:ascii="宋体" w:hAnsi="宋体" w:eastAsia="宋体" w:cs="宋体"/>
          <w:b/>
          <w:sz w:val="32"/>
          <w:szCs w:val="44"/>
        </w:rPr>
      </w:r>
      <w:r/>
    </w:p>
    <w:p>
      <w:pPr>
        <w:pStyle w:val="801"/>
        <w:jc w:val="center"/>
        <w:rPr>
          <w:rFonts w:hint="eastAsia" w:ascii="宋体" w:hAnsi="宋体" w:eastAsia="宋体" w:cs="宋体"/>
          <w:b/>
          <w:sz w:val="32"/>
          <w:szCs w:val="44"/>
        </w:rPr>
      </w:pPr>
      <w:r>
        <w:rPr>
          <w:rFonts w:hint="eastAsia" w:ascii="宋体" w:hAnsi="宋体" w:eastAsia="宋体" w:cs="宋体"/>
          <w:b/>
          <w:sz w:val="32"/>
          <w:szCs w:val="44"/>
        </w:rPr>
      </w:r>
      <w:r/>
    </w:p>
    <w:p>
      <w:pPr>
        <w:pStyle w:val="818"/>
        <w:rPr>
          <w:rFonts w:hint="eastAsia" w:ascii="宋体" w:hAnsi="宋体" w:eastAsia="宋体" w:cs="宋体"/>
        </w:rPr>
      </w:pPr>
      <w:r>
        <w:rPr>
          <w:rFonts w:hint="eastAsia" w:ascii="宋体" w:hAnsi="宋体" w:eastAsia="宋体" w:cs="宋体"/>
        </w:rPr>
      </w:r>
      <w:r/>
    </w:p>
    <w:p>
      <w:pPr>
        <w:pStyle w:val="818"/>
        <w:rPr>
          <w:rFonts w:hint="eastAsia" w:ascii="宋体" w:hAnsi="宋体" w:eastAsia="宋体" w:cs="宋体"/>
        </w:rPr>
      </w:pPr>
      <w:r>
        <w:rPr>
          <w:rFonts w:hint="eastAsia" w:ascii="宋体" w:hAnsi="宋体" w:eastAsia="宋体" w:cs="宋体"/>
        </w:rPr>
      </w:r>
      <w:r/>
    </w:p>
    <w:p>
      <w:pPr>
        <w:pStyle w:val="818"/>
        <w:rPr>
          <w:rFonts w:hint="eastAsia" w:ascii="宋体" w:hAnsi="宋体" w:eastAsia="宋体" w:cs="宋体"/>
        </w:rPr>
      </w:pPr>
      <w:r>
        <w:rPr>
          <w:rFonts w:hint="eastAsia" w:ascii="宋体" w:hAnsi="宋体" w:eastAsia="宋体" w:cs="宋体"/>
        </w:rPr>
      </w:r>
      <w:r/>
    </w:p>
    <w:p>
      <w:pPr>
        <w:pStyle w:val="818"/>
        <w:rPr>
          <w:rFonts w:hint="eastAsia" w:ascii="宋体" w:hAnsi="宋体" w:eastAsia="宋体" w:cs="宋体"/>
        </w:rPr>
      </w:pPr>
      <w:r>
        <w:rPr>
          <w:rFonts w:hint="eastAsia" w:ascii="宋体" w:hAnsi="宋体" w:eastAsia="宋体" w:cs="宋体"/>
        </w:rPr>
      </w:r>
      <w:r/>
    </w:p>
    <w:p>
      <w:pPr>
        <w:pStyle w:val="801"/>
        <w:spacing w:before="240"/>
        <w:tabs>
          <w:tab w:val="left" w:pos="4605" w:leader="none"/>
        </w:tabs>
        <w:rPr>
          <w:rFonts w:hint="eastAsia" w:ascii="宋体" w:hAnsi="宋体" w:eastAsia="宋体" w:cs="宋体"/>
        </w:rPr>
      </w:pPr>
      <w:r>
        <w:rPr>
          <w:rFonts w:hint="eastAsia" w:ascii="宋体" w:hAnsi="宋体" w:eastAsia="宋体" w:cs="宋体"/>
          <w:b/>
          <w:sz w:val="32"/>
        </w:rPr>
        <w:tab/>
      </w:r>
      <w:r>
        <w:rPr>
          <w:rFonts w:hint="eastAsia" w:ascii="宋体" w:hAnsi="宋体" w:eastAsia="宋体" w:cs="宋体"/>
        </w:rPr>
      </w:r>
      <w:r/>
    </w:p>
    <w:p>
      <w:pPr>
        <w:pStyle w:val="801"/>
        <w:ind w:firstLine="939"/>
        <w:spacing w:before="240" w:line="240" w:lineRule="auto"/>
        <w:rPr>
          <w:rFonts w:hint="eastAsia" w:ascii="宋体" w:hAnsi="宋体" w:eastAsia="宋体" w:cs="宋体"/>
          <w:b w:val="0"/>
          <w:bCs/>
          <w:sz w:val="32"/>
          <w:szCs w:val="32"/>
          <w:highlight w:val="yellow"/>
        </w:rPr>
      </w:pPr>
      <w:r>
        <w:rPr>
          <w:rFonts w:hint="eastAsia" w:ascii="宋体" w:hAnsi="宋体" w:eastAsia="宋体" w:cs="宋体"/>
          <w:b w:val="0"/>
          <w:bCs/>
          <w:sz w:val="32"/>
          <w:szCs w:val="32"/>
        </w:rPr>
        <w:t xml:space="preserve">招 标 人：</w:t>
      </w:r>
      <w:r>
        <w:rPr>
          <w:rFonts w:hint="eastAsia" w:ascii="宋体" w:hAnsi="宋体" w:eastAsia="宋体" w:cs="宋体"/>
          <w:b w:val="0"/>
          <w:bCs/>
          <w:sz w:val="32"/>
          <w:szCs w:val="32"/>
          <w:lang w:val="en-US" w:eastAsia="zh-CN"/>
        </w:rPr>
        <w:t xml:space="preserve">京杭运河江苏省交通运输厅苏北航务管理处</w:t>
      </w:r>
      <w:r>
        <w:rPr>
          <w:rFonts w:hint="eastAsia" w:ascii="宋体" w:hAnsi="宋体" w:eastAsia="宋体" w:cs="宋体"/>
          <w:b w:val="0"/>
          <w:bCs/>
          <w:sz w:val="32"/>
          <w:szCs w:val="32"/>
          <w:highlight w:val="yellow"/>
        </w:rPr>
      </w:r>
      <w:r/>
    </w:p>
    <w:p>
      <w:pPr>
        <w:pStyle w:val="801"/>
        <w:jc w:val="center"/>
        <w:spacing w:before="240" w:line="240" w:lineRule="auto"/>
        <w:rPr>
          <w:rFonts w:hint="eastAsia" w:ascii="宋体" w:hAnsi="宋体" w:eastAsia="宋体" w:cs="宋体"/>
          <w:b w:val="0"/>
          <w:bCs/>
          <w:sz w:val="32"/>
          <w:szCs w:val="32"/>
        </w:rPr>
      </w:pPr>
      <w:r>
        <w:rPr>
          <w:rFonts w:hint="eastAsia" w:ascii="宋体" w:hAnsi="宋体" w:eastAsia="宋体" w:cs="宋体"/>
          <w:b w:val="0"/>
          <w:bCs/>
          <w:sz w:val="32"/>
          <w:szCs w:val="32"/>
        </w:rPr>
        <w:t xml:space="preserve">招标代理</w:t>
      </w:r>
      <w:r>
        <w:rPr>
          <w:rFonts w:hint="eastAsia" w:ascii="宋体" w:hAnsi="宋体" w:eastAsia="宋体" w:cs="宋体"/>
          <w:b w:val="0"/>
          <w:bCs/>
          <w:sz w:val="32"/>
          <w:szCs w:val="32"/>
          <w:lang w:val="en-US" w:eastAsia="zh-CN"/>
        </w:rPr>
        <w:t xml:space="preserve">机构</w:t>
      </w:r>
      <w:r>
        <w:rPr>
          <w:rFonts w:hint="eastAsia" w:ascii="宋体" w:hAnsi="宋体" w:eastAsia="宋体" w:cs="宋体"/>
          <w:b w:val="0"/>
          <w:bCs/>
          <w:sz w:val="32"/>
          <w:szCs w:val="32"/>
        </w:rPr>
        <w:t xml:space="preserve">：江苏天业工程咨询房地产估价有限责任公司</w:t>
      </w:r>
      <w:r>
        <w:rPr>
          <w:rFonts w:hint="eastAsia" w:ascii="宋体" w:hAnsi="宋体" w:eastAsia="宋体" w:cs="宋体"/>
          <w:b w:val="0"/>
          <w:bCs/>
          <w:sz w:val="32"/>
          <w:szCs w:val="32"/>
        </w:rPr>
      </w:r>
      <w:r/>
    </w:p>
    <w:p>
      <w:pPr>
        <w:pStyle w:val="801"/>
        <w:jc w:val="center"/>
        <w:spacing w:before="240" w:line="240" w:lineRule="auto"/>
        <w:rPr>
          <w:rFonts w:hint="eastAsia" w:ascii="宋体" w:hAnsi="宋体" w:eastAsia="宋体" w:cs="宋体"/>
          <w:b w:val="0"/>
          <w:bCs/>
          <w:sz w:val="32"/>
          <w:szCs w:val="32"/>
        </w:rPr>
      </w:pPr>
      <w:r>
        <w:rPr>
          <w:rFonts w:hint="eastAsia" w:ascii="宋体" w:hAnsi="宋体" w:eastAsia="宋体" w:cs="宋体"/>
          <w:b w:val="0"/>
          <w:bCs/>
          <w:sz w:val="32"/>
          <w:szCs w:val="32"/>
        </w:rPr>
        <w:t xml:space="preserve">2026年</w:t>
      </w:r>
      <w:r>
        <w:rPr>
          <w:rFonts w:hint="eastAsia" w:ascii="宋体" w:hAnsi="宋体" w:eastAsia="宋体" w:cs="宋体"/>
          <w:b w:val="0"/>
          <w:bCs/>
          <w:sz w:val="32"/>
          <w:szCs w:val="32"/>
          <w:lang w:val="en-US" w:eastAsia="zh-CN"/>
        </w:rPr>
        <w:t xml:space="preserve">6</w:t>
      </w:r>
      <w:r>
        <w:rPr>
          <w:rFonts w:hint="eastAsia" w:ascii="宋体" w:hAnsi="宋体" w:eastAsia="宋体" w:cs="宋体"/>
          <w:b w:val="0"/>
          <w:bCs/>
          <w:sz w:val="32"/>
          <w:szCs w:val="32"/>
        </w:rPr>
        <w:t xml:space="preserve">月</w:t>
      </w:r>
      <w:r>
        <w:rPr>
          <w:rFonts w:hint="eastAsia" w:ascii="宋体" w:hAnsi="宋体" w:eastAsia="宋体" w:cs="宋体"/>
          <w:b w:val="0"/>
          <w:bCs/>
          <w:sz w:val="32"/>
          <w:szCs w:val="32"/>
        </w:rPr>
      </w:r>
      <w:r/>
    </w:p>
    <w:p>
      <w:pPr>
        <w:pStyle w:val="801"/>
        <w:jc w:val="center"/>
        <w:spacing w:line="420" w:lineRule="exact"/>
        <w:rPr>
          <w:rFonts w:hint="eastAsia" w:ascii="宋体" w:hAnsi="宋体" w:eastAsia="宋体" w:cs="宋体"/>
          <w:b w:val="0"/>
          <w:bCs/>
          <w:sz w:val="32"/>
          <w:szCs w:val="32"/>
        </w:rPr>
        <w:sectPr>
          <w:footerReference w:type="default" r:id="rId10"/>
          <w:footnotePr/>
          <w:endnotePr/>
          <w:type w:val="nextPage"/>
          <w:pgSz w:w="11906" w:h="16838" w:orient="portrait"/>
          <w:pgMar w:top="1417" w:right="1417" w:bottom="1417" w:left="1417" w:header="567" w:footer="567" w:gutter="0"/>
          <w:pgNumType w:start="1"/>
          <w:cols w:num="1" w:sep="0" w:space="1701" w:equalWidth="1"/>
          <w:docGrid w:linePitch="360"/>
        </w:sectPr>
      </w:pPr>
      <w:r>
        <w:rPr>
          <w:rFonts w:hint="eastAsia" w:ascii="宋体" w:hAnsi="宋体" w:eastAsia="宋体" w:cs="宋体"/>
          <w:b w:val="0"/>
          <w:bCs/>
          <w:sz w:val="32"/>
          <w:szCs w:val="32"/>
        </w:rPr>
      </w:r>
      <w:r/>
    </w:p>
    <w:p>
      <w:pPr>
        <w:pStyle w:val="801"/>
        <w:rPr>
          <w:rFonts w:hint="eastAsia" w:ascii="宋体" w:hAnsi="宋体" w:eastAsia="宋体" w:cs="宋体"/>
        </w:rPr>
      </w:pPr>
      <w:r>
        <w:rPr>
          <w:rFonts w:hint="eastAsia" w:ascii="宋体" w:hAnsi="宋体" w:eastAsia="宋体" w:cs="宋体"/>
        </w:rPr>
      </w:r>
      <w:r/>
    </w:p>
    <w:p>
      <w:pPr>
        <w:pStyle w:val="801"/>
        <w:jc w:val="center"/>
        <w:rPr>
          <w:rFonts w:hint="eastAsia" w:ascii="宋体" w:hAnsi="宋体" w:eastAsia="宋体" w:cs="宋体"/>
          <w:b/>
          <w:sz w:val="44"/>
          <w:szCs w:val="44"/>
        </w:rPr>
      </w:pPr>
      <w:r/>
      <w:bookmarkStart w:id="0" w:name="_Toc503901899"/>
      <w:r/>
      <w:bookmarkStart w:id="1" w:name="_Toc503307418"/>
      <w:r/>
      <w:bookmarkStart w:id="2" w:name="_Toc432244487"/>
      <w:r>
        <w:rPr>
          <w:rFonts w:hint="eastAsia" w:ascii="宋体" w:hAnsi="宋体" w:eastAsia="宋体" w:cs="宋体"/>
          <w:b/>
          <w:sz w:val="44"/>
          <w:szCs w:val="44"/>
        </w:rPr>
        <w:t xml:space="preserve">目    录</w:t>
      </w:r>
      <w:bookmarkEnd w:id="0"/>
      <w:r/>
      <w:bookmarkEnd w:id="1"/>
      <w:r/>
      <w:bookmarkEnd w:id="2"/>
      <w:r>
        <w:rPr>
          <w:rFonts w:hint="eastAsia" w:ascii="宋体" w:hAnsi="宋体" w:eastAsia="宋体" w:cs="宋体"/>
          <w:b/>
          <w:sz w:val="44"/>
          <w:szCs w:val="44"/>
        </w:rPr>
      </w:r>
      <w:r/>
    </w:p>
    <w:p>
      <w:pPr>
        <w:pStyle w:val="823"/>
        <w:tabs>
          <w:tab w:val="right" w:pos="9118" w:leader="dot"/>
        </w:tabs>
        <w:rPr>
          <w:rFonts w:hint="eastAsia" w:ascii="宋体" w:hAnsi="宋体" w:eastAsia="宋体" w:cs="宋体"/>
          <w:sz w:val="28"/>
          <w:szCs w:val="28"/>
        </w:rPr>
      </w:pPr>
      <w:r>
        <w:rPr>
          <w:rFonts w:hint="eastAsia" w:ascii="宋体" w:hAnsi="宋体" w:eastAsia="宋体" w:cs="宋体"/>
          <w:b/>
          <w:bCs/>
          <w:sz w:val="48"/>
          <w:szCs w:val="48"/>
        </w:rPr>
        <w:fldChar w:fldCharType="begin"/>
      </w:r>
      <w:r>
        <w:rPr>
          <w:rFonts w:hint="eastAsia" w:ascii="宋体" w:hAnsi="宋体" w:eastAsia="宋体" w:cs="宋体"/>
          <w:b/>
          <w:bCs/>
          <w:sz w:val="48"/>
          <w:szCs w:val="48"/>
        </w:rPr>
        <w:instrText xml:space="preserve"> TOC \o "1-3" \h \z \u </w:instrText>
      </w:r>
      <w:r>
        <w:rPr>
          <w:rFonts w:hint="eastAsia" w:ascii="宋体" w:hAnsi="宋体" w:eastAsia="宋体" w:cs="宋体"/>
          <w:b/>
          <w:bCs/>
          <w:sz w:val="48"/>
          <w:szCs w:val="48"/>
        </w:rPr>
        <w:fldChar w:fldCharType="separate"/>
      </w:r>
      <w:r>
        <w:rPr>
          <w:rStyle w:val="832"/>
          <w:rFonts w:hint="eastAsia" w:ascii="宋体" w:hAnsi="宋体" w:eastAsia="宋体" w:cs="宋体"/>
          <w:sz w:val="28"/>
          <w:szCs w:val="28"/>
        </w:rPr>
        <w:fldChar w:fldCharType="begin"/>
      </w:r>
      <w:r>
        <w:rPr>
          <w:rStyle w:val="832"/>
          <w:rFonts w:hint="eastAsia" w:ascii="宋体" w:hAnsi="宋体" w:eastAsia="宋体" w:cs="宋体"/>
          <w:sz w:val="28"/>
          <w:szCs w:val="28"/>
        </w:rPr>
        <w:instrText xml:space="preserve"> </w:instrText>
      </w:r>
      <w:r>
        <w:rPr>
          <w:rFonts w:hint="eastAsia" w:ascii="宋体" w:hAnsi="宋体" w:eastAsia="宋体" w:cs="宋体"/>
          <w:sz w:val="28"/>
          <w:szCs w:val="28"/>
        </w:rPr>
        <w:instrText xml:space="preserve">HYPERLINK \l "_Toc211090850"</w:instrText>
      </w:r>
      <w:r>
        <w:rPr>
          <w:rStyle w:val="832"/>
          <w:rFonts w:hint="eastAsia" w:ascii="宋体" w:hAnsi="宋体" w:eastAsia="宋体" w:cs="宋体"/>
          <w:sz w:val="28"/>
          <w:szCs w:val="28"/>
        </w:rPr>
        <w:instrText xml:space="preserve"> </w:instrText>
      </w:r>
      <w:r>
        <w:rPr>
          <w:rStyle w:val="832"/>
          <w:rFonts w:hint="eastAsia" w:ascii="宋体" w:hAnsi="宋体" w:eastAsia="宋体" w:cs="宋体"/>
          <w:sz w:val="28"/>
          <w:szCs w:val="28"/>
        </w:rPr>
        <w:fldChar w:fldCharType="separate"/>
      </w:r>
      <w:r>
        <w:rPr>
          <w:rStyle w:val="832"/>
          <w:rFonts w:hint="eastAsia" w:ascii="宋体" w:hAnsi="宋体" w:eastAsia="宋体" w:cs="宋体"/>
          <w:sz w:val="28"/>
          <w:szCs w:val="28"/>
        </w:rPr>
        <w:t xml:space="preserve">第一章  招标公告</w:t>
      </w:r>
      <w:r>
        <w:rPr>
          <w:rFonts w:hint="eastAsia" w:ascii="宋体" w:hAnsi="宋体" w:eastAsia="宋体" w:cs="宋体"/>
          <w:sz w:val="28"/>
          <w:szCs w:val="28"/>
        </w:rPr>
        <w:tab/>
      </w:r>
      <w:r>
        <w:rPr>
          <w:rFonts w:hint="eastAsia" w:ascii="宋体" w:hAnsi="宋体" w:eastAsia="宋体" w:cs="宋体"/>
          <w:sz w:val="28"/>
          <w:szCs w:val="28"/>
        </w:rPr>
        <w:t xml:space="preserve">1</w:t>
      </w:r>
      <w:r>
        <w:rPr>
          <w:rStyle w:val="832"/>
          <w:rFonts w:hint="eastAsia" w:ascii="宋体" w:hAnsi="宋体" w:eastAsia="宋体" w:cs="宋体"/>
          <w:sz w:val="28"/>
          <w:szCs w:val="28"/>
        </w:rPr>
        <w:fldChar w:fldCharType="end"/>
      </w:r>
      <w:r>
        <w:rPr>
          <w:rFonts w:hint="eastAsia" w:ascii="宋体" w:hAnsi="宋体" w:eastAsia="宋体" w:cs="宋体"/>
          <w:sz w:val="28"/>
          <w:szCs w:val="28"/>
        </w:rPr>
      </w:r>
      <w:r/>
    </w:p>
    <w:p>
      <w:pPr>
        <w:pStyle w:val="823"/>
        <w:tabs>
          <w:tab w:val="right" w:pos="9118" w:leader="dot"/>
        </w:tabs>
        <w:rPr>
          <w:rFonts w:hint="eastAsia" w:ascii="宋体" w:hAnsi="宋体" w:eastAsia="宋体" w:cs="宋体"/>
          <w:sz w:val="28"/>
          <w:szCs w:val="28"/>
        </w:rPr>
      </w:pPr>
      <w:r>
        <w:rPr>
          <w:rStyle w:val="832"/>
          <w:rFonts w:hint="eastAsia" w:ascii="宋体" w:hAnsi="宋体" w:eastAsia="宋体" w:cs="宋体"/>
          <w:sz w:val="28"/>
          <w:szCs w:val="28"/>
        </w:rPr>
        <w:fldChar w:fldCharType="begin"/>
      </w:r>
      <w:r>
        <w:rPr>
          <w:rStyle w:val="832"/>
          <w:rFonts w:hint="eastAsia" w:ascii="宋体" w:hAnsi="宋体" w:eastAsia="宋体" w:cs="宋体"/>
          <w:sz w:val="28"/>
          <w:szCs w:val="28"/>
        </w:rPr>
        <w:instrText xml:space="preserve"> </w:instrText>
      </w:r>
      <w:r>
        <w:rPr>
          <w:rFonts w:hint="eastAsia" w:ascii="宋体" w:hAnsi="宋体" w:eastAsia="宋体" w:cs="宋体"/>
          <w:sz w:val="28"/>
          <w:szCs w:val="28"/>
        </w:rPr>
        <w:instrText xml:space="preserve">HYPERLINK \l "_Toc211090857"</w:instrText>
      </w:r>
      <w:r>
        <w:rPr>
          <w:rStyle w:val="832"/>
          <w:rFonts w:hint="eastAsia" w:ascii="宋体" w:hAnsi="宋体" w:eastAsia="宋体" w:cs="宋体"/>
          <w:sz w:val="28"/>
          <w:szCs w:val="28"/>
        </w:rPr>
        <w:instrText xml:space="preserve"> </w:instrText>
      </w:r>
      <w:r>
        <w:rPr>
          <w:rStyle w:val="832"/>
          <w:rFonts w:hint="eastAsia" w:ascii="宋体" w:hAnsi="宋体" w:eastAsia="宋体" w:cs="宋体"/>
          <w:sz w:val="28"/>
          <w:szCs w:val="28"/>
        </w:rPr>
        <w:fldChar w:fldCharType="separate"/>
      </w:r>
      <w:r>
        <w:rPr>
          <w:rStyle w:val="832"/>
          <w:rFonts w:hint="eastAsia" w:ascii="宋体" w:hAnsi="宋体" w:eastAsia="宋体" w:cs="宋体"/>
          <w:sz w:val="28"/>
          <w:szCs w:val="28"/>
        </w:rPr>
        <w:t xml:space="preserve">第二章  投标人须知</w:t>
      </w:r>
      <w:r>
        <w:rPr>
          <w:rFonts w:hint="eastAsia" w:ascii="宋体" w:hAnsi="宋体" w:eastAsia="宋体" w:cs="宋体"/>
          <w:sz w:val="28"/>
          <w:szCs w:val="28"/>
        </w:rPr>
        <w:tab/>
      </w:r>
      <w:r>
        <w:rPr>
          <w:rFonts w:hint="eastAsia" w:ascii="宋体" w:hAnsi="宋体" w:eastAsia="宋体" w:cs="宋体"/>
          <w:sz w:val="28"/>
          <w:szCs w:val="28"/>
        </w:rPr>
        <w:t xml:space="preserve">6</w:t>
      </w:r>
      <w:r>
        <w:rPr>
          <w:rStyle w:val="832"/>
          <w:rFonts w:hint="eastAsia" w:ascii="宋体" w:hAnsi="宋体" w:eastAsia="宋体" w:cs="宋体"/>
          <w:sz w:val="28"/>
          <w:szCs w:val="28"/>
        </w:rPr>
        <w:fldChar w:fldCharType="end"/>
      </w:r>
      <w:r>
        <w:rPr>
          <w:rFonts w:hint="eastAsia" w:ascii="宋体" w:hAnsi="宋体" w:eastAsia="宋体" w:cs="宋体"/>
          <w:sz w:val="28"/>
          <w:szCs w:val="28"/>
        </w:rPr>
      </w:r>
      <w:r/>
    </w:p>
    <w:p>
      <w:pPr>
        <w:pStyle w:val="823"/>
        <w:tabs>
          <w:tab w:val="right" w:pos="9118" w:leader="dot"/>
        </w:tabs>
        <w:rPr>
          <w:rFonts w:ascii="宋体" w:hAnsi="宋体" w:eastAsia="宋体" w:cs="宋体"/>
          <w:sz w:val="28"/>
          <w:szCs w:val="28"/>
          <w:lang w:val="en-US" w:eastAsia="zh-CN"/>
        </w:rPr>
      </w:pPr>
      <w:r>
        <w:rPr>
          <w:rStyle w:val="832"/>
          <w:rFonts w:hint="eastAsia" w:ascii="宋体" w:hAnsi="宋体" w:eastAsia="宋体" w:cs="宋体"/>
          <w:sz w:val="28"/>
          <w:szCs w:val="28"/>
        </w:rPr>
        <w:fldChar w:fldCharType="begin"/>
      </w:r>
      <w:r>
        <w:rPr>
          <w:rStyle w:val="832"/>
          <w:rFonts w:hint="eastAsia" w:ascii="宋体" w:hAnsi="宋体" w:eastAsia="宋体" w:cs="宋体"/>
          <w:sz w:val="28"/>
          <w:szCs w:val="28"/>
        </w:rPr>
        <w:instrText xml:space="preserve"> </w:instrText>
      </w:r>
      <w:r>
        <w:rPr>
          <w:rFonts w:hint="eastAsia" w:ascii="宋体" w:hAnsi="宋体" w:eastAsia="宋体" w:cs="宋体"/>
          <w:sz w:val="28"/>
          <w:szCs w:val="28"/>
        </w:rPr>
        <w:instrText xml:space="preserve">HYPERLINK \l "_Toc211090859"</w:instrText>
      </w:r>
      <w:r>
        <w:rPr>
          <w:rStyle w:val="832"/>
          <w:rFonts w:hint="eastAsia" w:ascii="宋体" w:hAnsi="宋体" w:eastAsia="宋体" w:cs="宋体"/>
          <w:sz w:val="28"/>
          <w:szCs w:val="28"/>
        </w:rPr>
        <w:instrText xml:space="preserve"> </w:instrText>
      </w:r>
      <w:r>
        <w:rPr>
          <w:rStyle w:val="832"/>
          <w:rFonts w:hint="eastAsia" w:ascii="宋体" w:hAnsi="宋体" w:eastAsia="宋体" w:cs="宋体"/>
          <w:sz w:val="28"/>
          <w:szCs w:val="28"/>
        </w:rPr>
        <w:fldChar w:fldCharType="separate"/>
      </w:r>
      <w:r>
        <w:rPr>
          <w:rStyle w:val="832"/>
          <w:rFonts w:hint="eastAsia" w:ascii="宋体" w:hAnsi="宋体" w:eastAsia="宋体" w:cs="宋体"/>
          <w:sz w:val="28"/>
          <w:szCs w:val="28"/>
        </w:rPr>
        <w:t xml:space="preserve">第三章  评标办法</w:t>
      </w:r>
      <w:r>
        <w:rPr>
          <w:rFonts w:hint="eastAsia" w:ascii="宋体" w:hAnsi="宋体" w:eastAsia="宋体" w:cs="宋体"/>
          <w:sz w:val="28"/>
          <w:szCs w:val="28"/>
        </w:rPr>
        <w:tab/>
      </w:r>
      <w:r>
        <w:rPr>
          <w:rStyle w:val="832"/>
          <w:rFonts w:hint="eastAsia" w:ascii="宋体" w:hAnsi="宋体" w:eastAsia="宋体" w:cs="宋体"/>
          <w:sz w:val="28"/>
          <w:szCs w:val="28"/>
        </w:rPr>
        <w:fldChar w:fldCharType="end"/>
      </w:r>
      <w:r>
        <w:rPr>
          <w:rStyle w:val="832"/>
          <w:rFonts w:hint="eastAsia" w:ascii="宋体" w:hAnsi="宋体" w:eastAsia="宋体" w:cs="宋体"/>
          <w:sz w:val="28"/>
          <w:szCs w:val="28"/>
          <w:lang w:val="en-US" w:eastAsia="zh-CN"/>
        </w:rPr>
        <w:t xml:space="preserve">21</w:t>
      </w:r>
      <w:r>
        <w:rPr>
          <w:rFonts w:ascii="宋体" w:hAnsi="宋体" w:eastAsia="宋体" w:cs="宋体"/>
          <w:sz w:val="28"/>
          <w:szCs w:val="28"/>
          <w:lang w:val="en-US" w:eastAsia="zh-CN"/>
        </w:rPr>
      </w:r>
      <w:r/>
    </w:p>
    <w:p>
      <w:pPr>
        <w:pStyle w:val="823"/>
        <w:tabs>
          <w:tab w:val="right" w:pos="9118" w:leader="dot"/>
        </w:tabs>
        <w:rPr>
          <w:rFonts w:hint="eastAsia" w:ascii="宋体" w:hAnsi="宋体" w:eastAsia="宋体" w:cs="宋体"/>
          <w:sz w:val="28"/>
          <w:szCs w:val="28"/>
          <w:lang w:val="en-US" w:eastAsia="zh-CN"/>
        </w:rPr>
      </w:pPr>
      <w:r>
        <w:rPr>
          <w:rStyle w:val="832"/>
          <w:rFonts w:hint="eastAsia" w:ascii="宋体" w:hAnsi="宋体" w:eastAsia="宋体" w:cs="宋体"/>
          <w:sz w:val="28"/>
          <w:szCs w:val="28"/>
        </w:rPr>
        <w:fldChar w:fldCharType="begin"/>
      </w:r>
      <w:r>
        <w:rPr>
          <w:rStyle w:val="832"/>
          <w:rFonts w:hint="eastAsia" w:ascii="宋体" w:hAnsi="宋体" w:eastAsia="宋体" w:cs="宋体"/>
          <w:sz w:val="28"/>
          <w:szCs w:val="28"/>
        </w:rPr>
        <w:instrText xml:space="preserve"> </w:instrText>
      </w:r>
      <w:r>
        <w:rPr>
          <w:rFonts w:hint="eastAsia" w:ascii="宋体" w:hAnsi="宋体" w:eastAsia="宋体" w:cs="宋体"/>
          <w:sz w:val="28"/>
          <w:szCs w:val="28"/>
        </w:rPr>
        <w:instrText xml:space="preserve">HYPERLINK \l "_Toc211090862"</w:instrText>
      </w:r>
      <w:r>
        <w:rPr>
          <w:rStyle w:val="832"/>
          <w:rFonts w:hint="eastAsia" w:ascii="宋体" w:hAnsi="宋体" w:eastAsia="宋体" w:cs="宋体"/>
          <w:sz w:val="28"/>
          <w:szCs w:val="28"/>
        </w:rPr>
        <w:instrText xml:space="preserve"> </w:instrText>
      </w:r>
      <w:r>
        <w:rPr>
          <w:rStyle w:val="832"/>
          <w:rFonts w:hint="eastAsia" w:ascii="宋体" w:hAnsi="宋体" w:eastAsia="宋体" w:cs="宋体"/>
          <w:sz w:val="28"/>
          <w:szCs w:val="28"/>
        </w:rPr>
        <w:fldChar w:fldCharType="separate"/>
      </w:r>
      <w:r>
        <w:rPr>
          <w:rStyle w:val="832"/>
          <w:rFonts w:hint="eastAsia" w:ascii="宋体" w:hAnsi="宋体" w:eastAsia="宋体" w:cs="宋体"/>
          <w:sz w:val="28"/>
          <w:szCs w:val="28"/>
        </w:rPr>
        <w:t xml:space="preserve">第四章  合同条款及格式</w:t>
      </w:r>
      <w:r>
        <w:rPr>
          <w:rFonts w:hint="eastAsia" w:ascii="宋体" w:hAnsi="宋体" w:eastAsia="宋体" w:cs="宋体"/>
          <w:sz w:val="28"/>
          <w:szCs w:val="28"/>
        </w:rPr>
        <w:tab/>
      </w:r>
      <w:r>
        <w:rPr>
          <w:rStyle w:val="832"/>
          <w:rFonts w:hint="eastAsia" w:ascii="宋体" w:hAnsi="宋体" w:eastAsia="宋体" w:cs="宋体"/>
          <w:sz w:val="28"/>
          <w:szCs w:val="28"/>
        </w:rPr>
        <w:fldChar w:fldCharType="end"/>
      </w:r>
      <w:r>
        <w:rPr>
          <w:rStyle w:val="832"/>
          <w:rFonts w:hint="eastAsia" w:ascii="宋体" w:hAnsi="宋体" w:eastAsia="宋体" w:cs="宋体"/>
          <w:sz w:val="28"/>
          <w:szCs w:val="28"/>
        </w:rPr>
        <w:t xml:space="preserve">2</w:t>
      </w:r>
      <w:r>
        <w:rPr>
          <w:rStyle w:val="832"/>
          <w:rFonts w:hint="eastAsia" w:ascii="宋体" w:hAnsi="宋体" w:eastAsia="宋体" w:cs="宋体"/>
          <w:sz w:val="28"/>
          <w:szCs w:val="28"/>
          <w:lang w:val="en-US" w:eastAsia="zh-CN"/>
        </w:rPr>
        <w:t xml:space="preserve">8</w:t>
      </w:r>
      <w:r>
        <w:rPr>
          <w:rFonts w:hint="eastAsia" w:ascii="宋体" w:hAnsi="宋体" w:eastAsia="宋体" w:cs="宋体"/>
          <w:sz w:val="28"/>
          <w:szCs w:val="28"/>
          <w:lang w:val="en-US" w:eastAsia="zh-CN"/>
        </w:rPr>
      </w:r>
      <w:r/>
    </w:p>
    <w:p>
      <w:pPr>
        <w:pStyle w:val="823"/>
        <w:tabs>
          <w:tab w:val="right" w:pos="9118" w:leader="dot"/>
        </w:tabs>
        <w:rPr>
          <w:rFonts w:hint="eastAsia" w:ascii="宋体" w:hAnsi="宋体" w:eastAsia="宋体" w:cs="宋体"/>
          <w:sz w:val="28"/>
          <w:szCs w:val="28"/>
          <w:lang w:val="en-US" w:eastAsia="zh-CN"/>
        </w:rPr>
      </w:pPr>
      <w:r>
        <w:rPr>
          <w:rStyle w:val="832"/>
          <w:rFonts w:hint="eastAsia" w:ascii="宋体" w:hAnsi="宋体" w:eastAsia="宋体" w:cs="宋体"/>
          <w:sz w:val="28"/>
          <w:szCs w:val="28"/>
        </w:rPr>
        <w:fldChar w:fldCharType="begin"/>
      </w:r>
      <w:r>
        <w:rPr>
          <w:rStyle w:val="832"/>
          <w:rFonts w:hint="eastAsia" w:ascii="宋体" w:hAnsi="宋体" w:eastAsia="宋体" w:cs="宋体"/>
          <w:sz w:val="28"/>
          <w:szCs w:val="28"/>
        </w:rPr>
        <w:instrText xml:space="preserve"> </w:instrText>
      </w:r>
      <w:r>
        <w:rPr>
          <w:rFonts w:hint="eastAsia" w:ascii="宋体" w:hAnsi="宋体" w:eastAsia="宋体" w:cs="宋体"/>
          <w:sz w:val="28"/>
          <w:szCs w:val="28"/>
        </w:rPr>
        <w:instrText xml:space="preserve">HYPERLINK \l "_Toc211090866"</w:instrText>
      </w:r>
      <w:r>
        <w:rPr>
          <w:rStyle w:val="832"/>
          <w:rFonts w:hint="eastAsia" w:ascii="宋体" w:hAnsi="宋体" w:eastAsia="宋体" w:cs="宋体"/>
          <w:sz w:val="28"/>
          <w:szCs w:val="28"/>
        </w:rPr>
        <w:instrText xml:space="preserve"> </w:instrText>
      </w:r>
      <w:r>
        <w:rPr>
          <w:rStyle w:val="832"/>
          <w:rFonts w:hint="eastAsia" w:ascii="宋体" w:hAnsi="宋体" w:eastAsia="宋体" w:cs="宋体"/>
          <w:sz w:val="28"/>
          <w:szCs w:val="28"/>
        </w:rPr>
        <w:fldChar w:fldCharType="separate"/>
      </w:r>
      <w:r>
        <w:rPr>
          <w:rStyle w:val="832"/>
          <w:rFonts w:hint="eastAsia" w:ascii="宋体" w:hAnsi="宋体" w:eastAsia="宋体" w:cs="宋体"/>
          <w:sz w:val="28"/>
          <w:szCs w:val="28"/>
        </w:rPr>
        <w:t xml:space="preserve">第五章  工程量清单</w:t>
      </w:r>
      <w:r>
        <w:rPr>
          <w:rFonts w:hint="eastAsia" w:ascii="宋体" w:hAnsi="宋体" w:eastAsia="宋体" w:cs="宋体"/>
          <w:sz w:val="28"/>
          <w:szCs w:val="28"/>
        </w:rPr>
        <w:tab/>
      </w:r>
      <w:r>
        <w:rPr>
          <w:rFonts w:hint="eastAsia" w:ascii="宋体" w:hAnsi="宋体" w:eastAsia="宋体" w:cs="宋体"/>
          <w:sz w:val="28"/>
          <w:szCs w:val="28"/>
          <w:lang w:val="en-US" w:eastAsia="zh-CN"/>
        </w:rPr>
        <w:t xml:space="preserve">6</w:t>
      </w:r>
      <w:r>
        <w:rPr>
          <w:rStyle w:val="832"/>
          <w:rFonts w:hint="eastAsia" w:ascii="宋体" w:hAnsi="宋体" w:eastAsia="宋体" w:cs="宋体"/>
          <w:sz w:val="28"/>
          <w:szCs w:val="28"/>
        </w:rPr>
        <w:fldChar w:fldCharType="end"/>
      </w:r>
      <w:r>
        <w:rPr>
          <w:rStyle w:val="832"/>
          <w:rFonts w:hint="eastAsia" w:ascii="宋体" w:hAnsi="宋体" w:eastAsia="宋体" w:cs="宋体"/>
          <w:sz w:val="28"/>
          <w:szCs w:val="28"/>
          <w:lang w:val="en-US" w:eastAsia="zh-CN"/>
        </w:rPr>
        <w:t xml:space="preserve">3</w:t>
      </w:r>
      <w:r>
        <w:rPr>
          <w:rFonts w:hint="eastAsia" w:ascii="宋体" w:hAnsi="宋体" w:eastAsia="宋体" w:cs="宋体"/>
          <w:sz w:val="28"/>
          <w:szCs w:val="28"/>
          <w:lang w:val="en-US" w:eastAsia="zh-CN"/>
        </w:rPr>
      </w:r>
      <w:r/>
    </w:p>
    <w:p>
      <w:pPr>
        <w:pStyle w:val="823"/>
        <w:tabs>
          <w:tab w:val="right" w:pos="9118" w:leader="dot"/>
        </w:tabs>
        <w:rPr>
          <w:rFonts w:hint="eastAsia" w:ascii="宋体" w:hAnsi="宋体" w:eastAsia="宋体" w:cs="宋体"/>
          <w:sz w:val="28"/>
          <w:szCs w:val="28"/>
        </w:rPr>
      </w:pPr>
      <w:r>
        <w:rPr>
          <w:rStyle w:val="832"/>
          <w:rFonts w:hint="eastAsia" w:ascii="宋体" w:hAnsi="宋体" w:eastAsia="宋体" w:cs="宋体"/>
          <w:sz w:val="28"/>
          <w:szCs w:val="28"/>
        </w:rPr>
        <w:fldChar w:fldCharType="begin"/>
      </w:r>
      <w:r>
        <w:rPr>
          <w:rStyle w:val="832"/>
          <w:rFonts w:hint="eastAsia" w:ascii="宋体" w:hAnsi="宋体" w:eastAsia="宋体" w:cs="宋体"/>
          <w:sz w:val="28"/>
          <w:szCs w:val="28"/>
        </w:rPr>
        <w:instrText xml:space="preserve"> </w:instrText>
      </w:r>
      <w:r>
        <w:rPr>
          <w:rFonts w:hint="eastAsia" w:ascii="宋体" w:hAnsi="宋体" w:eastAsia="宋体" w:cs="宋体"/>
          <w:sz w:val="28"/>
          <w:szCs w:val="28"/>
        </w:rPr>
        <w:instrText xml:space="preserve">HYPERLINK \l "_Toc211090867"</w:instrText>
      </w:r>
      <w:r>
        <w:rPr>
          <w:rStyle w:val="832"/>
          <w:rFonts w:hint="eastAsia" w:ascii="宋体" w:hAnsi="宋体" w:eastAsia="宋体" w:cs="宋体"/>
          <w:sz w:val="28"/>
          <w:szCs w:val="28"/>
        </w:rPr>
        <w:instrText xml:space="preserve"> </w:instrText>
      </w:r>
      <w:r>
        <w:rPr>
          <w:rStyle w:val="832"/>
          <w:rFonts w:hint="eastAsia" w:ascii="宋体" w:hAnsi="宋体" w:eastAsia="宋体" w:cs="宋体"/>
          <w:sz w:val="28"/>
          <w:szCs w:val="28"/>
        </w:rPr>
        <w:fldChar w:fldCharType="separate"/>
      </w:r>
      <w:r>
        <w:rPr>
          <w:rStyle w:val="832"/>
          <w:rFonts w:hint="eastAsia" w:ascii="宋体" w:hAnsi="宋体" w:eastAsia="宋体" w:cs="宋体"/>
          <w:sz w:val="28"/>
          <w:szCs w:val="28"/>
        </w:rPr>
        <w:t xml:space="preserve">第六章  图纸（另册）</w:t>
      </w:r>
      <w:r>
        <w:rPr>
          <w:rFonts w:hint="eastAsia" w:ascii="宋体" w:hAnsi="宋体" w:eastAsia="宋体" w:cs="宋体"/>
          <w:sz w:val="28"/>
          <w:szCs w:val="28"/>
        </w:rPr>
        <w:tab/>
      </w:r>
      <w:r>
        <w:rPr>
          <w:rFonts w:hint="eastAsia" w:ascii="宋体" w:hAnsi="宋体" w:eastAsia="宋体" w:cs="宋体"/>
          <w:sz w:val="28"/>
          <w:szCs w:val="28"/>
          <w:lang w:val="en-US" w:eastAsia="zh-CN"/>
        </w:rPr>
        <w:t xml:space="preserve">7</w:t>
      </w:r>
      <w:r>
        <w:rPr>
          <w:rStyle w:val="832"/>
          <w:rFonts w:hint="eastAsia" w:ascii="宋体" w:hAnsi="宋体" w:eastAsia="宋体" w:cs="宋体"/>
          <w:sz w:val="28"/>
          <w:szCs w:val="28"/>
        </w:rPr>
        <w:fldChar w:fldCharType="end"/>
      </w:r>
      <w:r>
        <w:rPr>
          <w:rStyle w:val="832"/>
          <w:rFonts w:hint="eastAsia" w:ascii="宋体" w:hAnsi="宋体" w:eastAsia="宋体" w:cs="宋体"/>
          <w:sz w:val="28"/>
          <w:szCs w:val="28"/>
          <w:lang w:val="en-US" w:eastAsia="zh-CN"/>
        </w:rPr>
        <w:t xml:space="preserve">3</w:t>
      </w:r>
      <w:r>
        <w:rPr>
          <w:rFonts w:hint="eastAsia" w:ascii="宋体" w:hAnsi="宋体" w:eastAsia="宋体" w:cs="宋体"/>
          <w:sz w:val="28"/>
          <w:szCs w:val="28"/>
        </w:rPr>
      </w:r>
      <w:r/>
    </w:p>
    <w:p>
      <w:pPr>
        <w:pStyle w:val="823"/>
        <w:tabs>
          <w:tab w:val="right" w:pos="9118" w:leader="dot"/>
        </w:tabs>
        <w:rPr>
          <w:rFonts w:ascii="宋体" w:hAnsi="宋体" w:eastAsia="宋体" w:cs="宋体"/>
          <w:sz w:val="28"/>
          <w:szCs w:val="28"/>
          <w:lang w:val="en-US" w:eastAsia="zh-CN"/>
        </w:rPr>
      </w:pPr>
      <w:r>
        <w:rPr>
          <w:rStyle w:val="832"/>
          <w:rFonts w:hint="eastAsia" w:ascii="宋体" w:hAnsi="宋体" w:eastAsia="宋体" w:cs="宋体"/>
          <w:sz w:val="28"/>
          <w:szCs w:val="28"/>
        </w:rPr>
        <w:fldChar w:fldCharType="begin"/>
      </w:r>
      <w:r>
        <w:rPr>
          <w:rStyle w:val="832"/>
          <w:rFonts w:hint="eastAsia" w:ascii="宋体" w:hAnsi="宋体" w:eastAsia="宋体" w:cs="宋体"/>
          <w:sz w:val="28"/>
          <w:szCs w:val="28"/>
        </w:rPr>
        <w:instrText xml:space="preserve"> </w:instrText>
      </w:r>
      <w:r>
        <w:rPr>
          <w:rFonts w:hint="eastAsia" w:ascii="宋体" w:hAnsi="宋体" w:eastAsia="宋体" w:cs="宋体"/>
          <w:sz w:val="28"/>
          <w:szCs w:val="28"/>
        </w:rPr>
        <w:instrText xml:space="preserve">HYPERLINK \l "_Toc211090868"</w:instrText>
      </w:r>
      <w:r>
        <w:rPr>
          <w:rStyle w:val="832"/>
          <w:rFonts w:hint="eastAsia" w:ascii="宋体" w:hAnsi="宋体" w:eastAsia="宋体" w:cs="宋体"/>
          <w:sz w:val="28"/>
          <w:szCs w:val="28"/>
        </w:rPr>
        <w:instrText xml:space="preserve"> </w:instrText>
      </w:r>
      <w:r>
        <w:rPr>
          <w:rStyle w:val="832"/>
          <w:rFonts w:hint="eastAsia" w:ascii="宋体" w:hAnsi="宋体" w:eastAsia="宋体" w:cs="宋体"/>
          <w:sz w:val="28"/>
          <w:szCs w:val="28"/>
        </w:rPr>
        <w:fldChar w:fldCharType="separate"/>
      </w:r>
      <w:r>
        <w:rPr>
          <w:rStyle w:val="832"/>
          <w:rFonts w:hint="eastAsia" w:ascii="宋体" w:hAnsi="宋体" w:eastAsia="宋体" w:cs="宋体"/>
          <w:sz w:val="28"/>
          <w:szCs w:val="28"/>
        </w:rPr>
        <w:t xml:space="preserve">第七章  技术标准和要求</w:t>
      </w:r>
      <w:r>
        <w:rPr>
          <w:rFonts w:hint="eastAsia" w:ascii="宋体" w:hAnsi="宋体" w:eastAsia="宋体" w:cs="宋体"/>
          <w:sz w:val="28"/>
          <w:szCs w:val="28"/>
        </w:rPr>
        <w:tab/>
      </w:r>
      <w:r>
        <w:rPr>
          <w:rStyle w:val="832"/>
          <w:rFonts w:hint="eastAsia" w:ascii="宋体" w:hAnsi="宋体" w:eastAsia="宋体" w:cs="宋体"/>
          <w:sz w:val="28"/>
          <w:szCs w:val="28"/>
        </w:rPr>
        <w:fldChar w:fldCharType="end"/>
      </w:r>
      <w:r>
        <w:rPr>
          <w:rStyle w:val="832"/>
          <w:rFonts w:hint="eastAsia" w:ascii="宋体" w:hAnsi="宋体" w:eastAsia="宋体" w:cs="宋体"/>
          <w:sz w:val="28"/>
          <w:szCs w:val="28"/>
          <w:lang w:val="en-US" w:eastAsia="zh-CN"/>
        </w:rPr>
        <w:t xml:space="preserve">74</w:t>
      </w:r>
      <w:r>
        <w:rPr>
          <w:rFonts w:ascii="宋体" w:hAnsi="宋体" w:eastAsia="宋体" w:cs="宋体"/>
          <w:sz w:val="28"/>
          <w:szCs w:val="28"/>
          <w:lang w:val="en-US" w:eastAsia="zh-CN"/>
        </w:rPr>
      </w:r>
      <w:r/>
    </w:p>
    <w:p>
      <w:pPr>
        <w:pStyle w:val="823"/>
        <w:tabs>
          <w:tab w:val="right" w:pos="9118" w:leader="dot"/>
        </w:tabs>
        <w:rPr>
          <w:rFonts w:hint="eastAsia" w:ascii="宋体" w:hAnsi="宋体" w:eastAsia="宋体" w:cs="宋体"/>
          <w:sz w:val="28"/>
          <w:szCs w:val="28"/>
          <w:lang w:val="en-US" w:eastAsia="zh-CN"/>
        </w:rPr>
      </w:pPr>
      <w:r>
        <w:rPr>
          <w:rStyle w:val="832"/>
          <w:rFonts w:hint="eastAsia" w:ascii="宋体" w:hAnsi="宋体" w:eastAsia="宋体" w:cs="宋体"/>
          <w:sz w:val="28"/>
          <w:szCs w:val="28"/>
        </w:rPr>
        <w:fldChar w:fldCharType="begin"/>
      </w:r>
      <w:r>
        <w:rPr>
          <w:rStyle w:val="832"/>
          <w:rFonts w:hint="eastAsia" w:ascii="宋体" w:hAnsi="宋体" w:eastAsia="宋体" w:cs="宋体"/>
          <w:sz w:val="28"/>
          <w:szCs w:val="28"/>
        </w:rPr>
        <w:instrText xml:space="preserve"> </w:instrText>
      </w:r>
      <w:r>
        <w:rPr>
          <w:rFonts w:hint="eastAsia" w:ascii="宋体" w:hAnsi="宋体" w:eastAsia="宋体" w:cs="宋体"/>
          <w:sz w:val="28"/>
          <w:szCs w:val="28"/>
        </w:rPr>
        <w:instrText xml:space="preserve">HYPERLINK \l "_Toc211090869"</w:instrText>
      </w:r>
      <w:r>
        <w:rPr>
          <w:rStyle w:val="832"/>
          <w:rFonts w:hint="eastAsia" w:ascii="宋体" w:hAnsi="宋体" w:eastAsia="宋体" w:cs="宋体"/>
          <w:sz w:val="28"/>
          <w:szCs w:val="28"/>
        </w:rPr>
        <w:instrText xml:space="preserve"> </w:instrText>
      </w:r>
      <w:r>
        <w:rPr>
          <w:rStyle w:val="832"/>
          <w:rFonts w:hint="eastAsia" w:ascii="宋体" w:hAnsi="宋体" w:eastAsia="宋体" w:cs="宋体"/>
          <w:sz w:val="28"/>
          <w:szCs w:val="28"/>
        </w:rPr>
        <w:fldChar w:fldCharType="separate"/>
      </w:r>
      <w:r>
        <w:rPr>
          <w:rStyle w:val="832"/>
          <w:rFonts w:hint="eastAsia" w:ascii="宋体" w:hAnsi="宋体" w:eastAsia="宋体" w:cs="宋体"/>
          <w:sz w:val="28"/>
          <w:szCs w:val="28"/>
        </w:rPr>
        <w:t xml:space="preserve">第八章  投标文件格式</w:t>
      </w:r>
      <w:r>
        <w:rPr>
          <w:rFonts w:hint="eastAsia" w:ascii="宋体" w:hAnsi="宋体" w:eastAsia="宋体" w:cs="宋体"/>
          <w:sz w:val="28"/>
          <w:szCs w:val="28"/>
        </w:rPr>
        <w:tab/>
      </w:r>
      <w:r>
        <w:rPr>
          <w:rFonts w:hint="eastAsia" w:ascii="宋体" w:hAnsi="宋体" w:eastAsia="宋体" w:cs="宋体"/>
          <w:sz w:val="28"/>
          <w:szCs w:val="28"/>
          <w:lang w:val="en-US" w:eastAsia="zh-CN"/>
        </w:rPr>
        <w:t xml:space="preserve">76</w:t>
      </w:r>
      <w:r>
        <w:rPr>
          <w:rStyle w:val="832"/>
          <w:rFonts w:hint="eastAsia" w:ascii="宋体" w:hAnsi="宋体" w:eastAsia="宋体" w:cs="宋体"/>
          <w:sz w:val="28"/>
          <w:szCs w:val="28"/>
        </w:rPr>
        <w:fldChar w:fldCharType="end"/>
      </w:r>
      <w:r>
        <w:rPr>
          <w:rFonts w:hint="eastAsia" w:ascii="宋体" w:hAnsi="宋体" w:eastAsia="宋体" w:cs="宋体"/>
          <w:sz w:val="28"/>
          <w:szCs w:val="28"/>
          <w:lang w:val="en-US" w:eastAsia="zh-CN"/>
        </w:rPr>
      </w:r>
      <w:r/>
    </w:p>
    <w:p>
      <w:pPr>
        <w:pStyle w:val="815"/>
        <w:tabs>
          <w:tab w:val="right" w:pos="9431" w:leader="dot"/>
        </w:tabs>
        <w:rPr>
          <w:rFonts w:hint="eastAsia" w:ascii="宋体" w:hAnsi="宋体" w:eastAsia="宋体" w:cs="宋体"/>
          <w:sz w:val="32"/>
          <w:szCs w:val="36"/>
        </w:rPr>
      </w:pPr>
      <w:r>
        <w:rPr>
          <w:rFonts w:hint="eastAsia" w:ascii="宋体" w:hAnsi="宋体" w:eastAsia="宋体" w:cs="宋体"/>
          <w:sz w:val="32"/>
          <w:szCs w:val="36"/>
        </w:rPr>
      </w:r>
      <w:r/>
    </w:p>
    <w:p>
      <w:pPr>
        <w:pStyle w:val="801"/>
        <w:spacing w:line="480" w:lineRule="auto"/>
        <w:tabs>
          <w:tab w:val="left" w:pos="7190" w:leader="none"/>
        </w:tabs>
        <w:rPr>
          <w:rFonts w:hint="eastAsia" w:ascii="宋体" w:hAnsi="宋体" w:eastAsia="宋体" w:cs="宋体"/>
          <w:b/>
          <w:bCs/>
        </w:rPr>
      </w:pPr>
      <w:r>
        <w:rPr>
          <w:rFonts w:hint="eastAsia" w:ascii="宋体" w:hAnsi="宋体" w:eastAsia="宋体" w:cs="宋体"/>
          <w:b/>
          <w:bCs/>
          <w:sz w:val="40"/>
          <w:szCs w:val="48"/>
        </w:rPr>
        <w:fldChar w:fldCharType="end"/>
      </w:r>
      <w:r>
        <w:rPr>
          <w:rFonts w:hint="eastAsia" w:ascii="宋体" w:hAnsi="宋体" w:eastAsia="宋体" w:cs="宋体"/>
          <w:b/>
          <w:bCs/>
        </w:rPr>
      </w:r>
      <w:r/>
    </w:p>
    <w:p>
      <w:pPr>
        <w:pStyle w:val="801"/>
        <w:jc w:val="left"/>
        <w:spacing w:beforeAutospacing="1" w:afterAutospacing="1"/>
        <w:widowControl/>
        <w:tabs>
          <w:tab w:val="left" w:pos="7190" w:leader="none"/>
        </w:tabs>
        <w:rPr>
          <w:rFonts w:hint="eastAsia" w:ascii="宋体" w:hAnsi="宋体" w:eastAsia="宋体" w:cs="宋体"/>
        </w:rPr>
        <w:sectPr>
          <w:footerReference w:type="default" r:id="rId11"/>
          <w:footnotePr/>
          <w:endnotePr/>
          <w:type w:val="nextPage"/>
          <w:pgSz w:w="11906" w:h="16838" w:orient="portrait"/>
          <w:pgMar w:top="1417" w:right="1417" w:bottom="1417" w:left="1417" w:header="851" w:footer="992" w:gutter="0"/>
          <w:pgNumType w:start="1"/>
          <w:cols w:num="1" w:sep="0" w:space="1701" w:equalWidth="1"/>
          <w:docGrid w:linePitch="360"/>
        </w:sectPr>
      </w:pPr>
      <w:r>
        <w:rPr>
          <w:rFonts w:hint="eastAsia" w:ascii="宋体" w:hAnsi="宋体" w:eastAsia="宋体" w:cs="宋体"/>
        </w:rPr>
        <w:tab/>
      </w:r>
      <w:r>
        <w:rPr>
          <w:rFonts w:hint="eastAsia" w:ascii="宋体" w:hAnsi="宋体" w:eastAsia="宋体" w:cs="宋体"/>
        </w:rPr>
      </w:r>
      <w:r/>
    </w:p>
    <w:p>
      <w:pPr>
        <w:pStyle w:val="802"/>
        <w:jc w:val="center"/>
        <w:keepLines w:val="0"/>
        <w:keepNext w:val="0"/>
        <w:spacing w:before="0" w:after="0" w:line="360" w:lineRule="auto"/>
        <w:tabs>
          <w:tab w:val="left" w:pos="0" w:leader="none"/>
          <w:tab w:val="left" w:pos="3165" w:leader="none"/>
          <w:tab w:val="center" w:pos="4153" w:leader="none"/>
        </w:tabs>
        <w:rPr>
          <w:rFonts w:hint="eastAsia" w:ascii="宋体" w:hAnsi="宋体" w:eastAsia="宋体" w:cs="宋体"/>
          <w:sz w:val="44"/>
          <w:szCs w:val="44"/>
        </w:rPr>
      </w:pPr>
      <w:r/>
      <w:bookmarkStart w:id="3" w:name="_Toc28359001"/>
      <w:r/>
      <w:bookmarkStart w:id="4" w:name="_Toc211090850"/>
      <w:r/>
      <w:bookmarkStart w:id="5" w:name="_Toc35393789"/>
      <w:r/>
      <w:bookmarkStart w:id="6" w:name="_Toc432244490"/>
      <w:r/>
      <w:bookmarkStart w:id="7" w:name="_Toc503901902"/>
      <w:r/>
      <w:bookmarkStart w:id="8" w:name="_Toc503307421"/>
      <w:r>
        <w:rPr>
          <w:rFonts w:hint="eastAsia" w:ascii="宋体" w:hAnsi="宋体" w:eastAsia="宋体" w:cs="宋体"/>
          <w:sz w:val="44"/>
          <w:szCs w:val="44"/>
        </w:rPr>
        <w:t xml:space="preserve">第一章  招标公告</w:t>
      </w:r>
      <w:bookmarkEnd w:id="3"/>
      <w:r/>
      <w:bookmarkEnd w:id="4"/>
      <w:r/>
      <w:bookmarkEnd w:id="5"/>
      <w:r>
        <w:rPr>
          <w:rFonts w:hint="eastAsia" w:ascii="宋体" w:hAnsi="宋体" w:eastAsia="宋体" w:cs="宋体"/>
          <w:sz w:val="44"/>
          <w:szCs w:val="44"/>
        </w:rPr>
      </w:r>
      <w:r/>
    </w:p>
    <w:p>
      <w:pPr>
        <w:pStyle w:val="801"/>
        <w:contextualSpacing/>
        <w:ind w:firstLine="480"/>
        <w:rPr>
          <w:rFonts w:hint="eastAsia" w:ascii="宋体" w:hAnsi="宋体" w:eastAsia="宋体" w:cs="宋体"/>
          <w:color w:val="000000"/>
          <w:sz w:val="24"/>
          <w:szCs w:val="24"/>
          <w:highlight w:val="none"/>
        </w:rPr>
        <w:pBdr>
          <w:top w:val="single" w:color="000000" w:sz="4" w:space="8"/>
          <w:left w:val="single" w:color="000000" w:sz="4" w:space="4"/>
          <w:bottom w:val="single" w:color="000000" w:sz="4" w:space="1"/>
          <w:right w:val="single" w:color="000000" w:sz="4" w:space="4"/>
        </w:pBdr>
      </w:pPr>
      <w:r>
        <w:rPr>
          <w:rFonts w:hint="eastAsia" w:ascii="宋体" w:hAnsi="宋体" w:eastAsia="宋体" w:cs="宋体"/>
          <w:sz w:val="24"/>
          <w:szCs w:val="24"/>
        </w:rPr>
        <w:t xml:space="preserve">项</w:t>
      </w:r>
      <w:r>
        <w:rPr>
          <w:rFonts w:hint="eastAsia" w:ascii="宋体" w:hAnsi="宋体" w:eastAsia="宋体" w:cs="宋体"/>
          <w:color w:val="000000"/>
          <w:sz w:val="24"/>
          <w:szCs w:val="24"/>
          <w:highlight w:val="none"/>
        </w:rPr>
        <w:t xml:space="preserve">目概况</w:t>
      </w:r>
      <w:r>
        <w:rPr>
          <w:rFonts w:hint="eastAsia" w:ascii="宋体" w:hAnsi="宋体" w:eastAsia="宋体" w:cs="宋体"/>
          <w:color w:val="000000"/>
          <w:sz w:val="24"/>
          <w:szCs w:val="24"/>
          <w:highlight w:val="none"/>
        </w:rPr>
      </w:r>
      <w:r/>
    </w:p>
    <w:p>
      <w:pPr>
        <w:pStyle w:val="801"/>
        <w:contextualSpacing/>
        <w:ind w:firstLine="480"/>
        <w:rPr>
          <w:rFonts w:hint="eastAsia" w:ascii="宋体" w:hAnsi="宋体" w:eastAsia="宋体" w:cs="宋体"/>
          <w:color w:val="000000"/>
          <w:sz w:val="24"/>
          <w:szCs w:val="24"/>
          <w:highlight w:val="none"/>
        </w:rPr>
        <w:pBdr>
          <w:top w:val="single" w:color="000000" w:sz="4" w:space="8"/>
          <w:left w:val="single" w:color="000000" w:sz="4" w:space="4"/>
          <w:bottom w:val="single" w:color="000000" w:sz="4" w:space="1"/>
          <w:right w:val="single" w:color="000000" w:sz="4" w:space="4"/>
        </w:pBdr>
      </w:pPr>
      <w:r>
        <w:rPr>
          <w:rFonts w:hint="eastAsia" w:ascii="宋体" w:hAnsi="宋体" w:eastAsia="宋体" w:cs="宋体"/>
          <w:color w:val="000000"/>
          <w:sz w:val="24"/>
          <w:szCs w:val="24"/>
          <w:highlight w:val="none"/>
          <w:u w:val="single"/>
        </w:rPr>
        <w:t xml:space="preserve">施桥二线船闸下游靠船墩专项养护改造项目</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lang w:val="en-US" w:eastAsia="zh-CN"/>
        </w:rPr>
        <w:t xml:space="preserve">二次</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rPr>
        <w:t xml:space="preserve">的潜在投标人应在“苏采云”政府采购一体化平台获取招标文件，并于2026年</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日</w:t>
      </w:r>
      <w:r>
        <w:rPr>
          <w:rFonts w:hint="eastAsia" w:ascii="宋体" w:hAnsi="宋体" w:eastAsia="宋体" w:cs="宋体"/>
          <w:color w:val="000000"/>
          <w:sz w:val="24"/>
          <w:szCs w:val="24"/>
          <w:highlight w:val="none"/>
          <w:lang w:val="en-US" w:eastAsia="zh-CN"/>
        </w:rPr>
        <w:t xml:space="preserve">14</w:t>
      </w:r>
      <w:r>
        <w:rPr>
          <w:rFonts w:hint="eastAsia" w:ascii="宋体" w:hAnsi="宋体" w:eastAsia="宋体" w:cs="宋体"/>
          <w:color w:val="000000"/>
          <w:sz w:val="24"/>
          <w:szCs w:val="24"/>
          <w:highlight w:val="none"/>
        </w:rPr>
        <w:t xml:space="preserve">时00分（北京时间）前提交投标文件。</w:t>
      </w:r>
      <w:r>
        <w:rPr>
          <w:rFonts w:hint="eastAsia" w:ascii="宋体" w:hAnsi="宋体" w:eastAsia="宋体" w:cs="宋体"/>
          <w:color w:val="000000"/>
          <w:sz w:val="24"/>
          <w:szCs w:val="24"/>
          <w:highlight w:val="none"/>
        </w:rPr>
      </w:r>
      <w:r/>
    </w:p>
    <w:p>
      <w:pPr>
        <w:pStyle w:val="801"/>
        <w:jc w:val="both"/>
        <w:keepLines w:val="0"/>
        <w:keepNext w:val="0"/>
        <w:pageBreakBefore w:val="0"/>
        <w:spacing w:before="157"/>
        <w:widowControl w:val="off"/>
        <w:rPr>
          <w:rFonts w:hint="eastAsia" w:ascii="宋体" w:hAnsi="宋体" w:eastAsia="宋体" w:cs="宋体"/>
          <w:b/>
          <w:bCs/>
          <w:color w:val="000000"/>
          <w:sz w:val="24"/>
          <w:szCs w:val="24"/>
          <w:highlight w:val="none"/>
        </w:rPr>
        <w:outlineLvl w:val="1"/>
      </w:pPr>
      <w:r/>
      <w:bookmarkStart w:id="9" w:name="_Toc20615"/>
      <w:r/>
      <w:bookmarkStart w:id="10" w:name="_Toc7066"/>
      <w:r/>
      <w:bookmarkStart w:id="11" w:name="_Toc7483"/>
      <w:r/>
      <w:bookmarkStart w:id="12" w:name="_Toc28359002"/>
      <w:r/>
      <w:bookmarkStart w:id="13" w:name="_Toc1475"/>
      <w:r/>
      <w:bookmarkStart w:id="14" w:name="_Toc35393790"/>
      <w:r/>
      <w:bookmarkStart w:id="15" w:name="_Toc28359079"/>
      <w:r/>
      <w:bookmarkStart w:id="16" w:name="_Toc35393621"/>
      <w:r/>
      <w:bookmarkStart w:id="17" w:name="_Toc28538"/>
      <w:r/>
      <w:bookmarkStart w:id="18" w:name="_Hlk24379207"/>
      <w:r>
        <w:rPr>
          <w:rFonts w:hint="eastAsia" w:ascii="宋体" w:hAnsi="宋体" w:eastAsia="宋体" w:cs="宋体"/>
          <w:b/>
          <w:bCs/>
          <w:color w:val="000000"/>
          <w:sz w:val="24"/>
          <w:szCs w:val="24"/>
          <w:highlight w:val="none"/>
        </w:rPr>
        <w:t xml:space="preserve">一、项目基本情况</w:t>
      </w:r>
      <w:bookmarkEnd w:id="9"/>
      <w:r/>
      <w:bookmarkEnd w:id="10"/>
      <w:r/>
      <w:bookmarkEnd w:id="11"/>
      <w:r/>
      <w:bookmarkEnd w:id="12"/>
      <w:r/>
      <w:bookmarkEnd w:id="13"/>
      <w:r/>
      <w:bookmarkEnd w:id="14"/>
      <w:r/>
      <w:bookmarkEnd w:id="15"/>
      <w:r/>
      <w:bookmarkEnd w:id="16"/>
      <w:r/>
      <w:bookmarkEnd w:id="17"/>
      <w:r>
        <w:rPr>
          <w:rFonts w:hint="eastAsia" w:ascii="宋体" w:hAnsi="宋体" w:eastAsia="宋体" w:cs="宋体"/>
          <w:b/>
          <w:bCs/>
          <w:color w:val="000000"/>
          <w:sz w:val="24"/>
          <w:szCs w:val="24"/>
          <w:highlight w:val="none"/>
        </w:rPr>
        <w:tab/>
      </w:r>
      <w:r>
        <w:rPr>
          <w:rFonts w:hint="eastAsia" w:ascii="宋体" w:hAnsi="宋体" w:eastAsia="宋体" w:cs="宋体"/>
          <w:b/>
          <w:bCs/>
          <w:color w:val="000000"/>
          <w:sz w:val="24"/>
          <w:szCs w:val="24"/>
          <w:highlight w:val="none"/>
        </w:rPr>
      </w:r>
      <w:r/>
    </w:p>
    <w:p>
      <w:pPr>
        <w:pStyle w:val="801"/>
        <w:ind w:firstLine="482"/>
        <w:jc w:val="both"/>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项目编号：</w:t>
      </w:r>
      <w:r>
        <w:rPr>
          <w:rFonts w:hint="eastAsia" w:ascii="宋体" w:hAnsi="宋体" w:eastAsia="宋体" w:cs="宋体"/>
          <w:color w:val="000000"/>
          <w:sz w:val="24"/>
          <w:szCs w:val="24"/>
          <w:highlight w:val="none"/>
        </w:rPr>
        <w:t xml:space="preserve">JSZC-320000-JSTY-G2026-0009    </w:t>
      </w:r>
      <w:r>
        <w:rPr>
          <w:rFonts w:hint="eastAsia" w:ascii="宋体" w:hAnsi="宋体" w:eastAsia="宋体" w:cs="宋体"/>
          <w:b/>
          <w:bCs/>
          <w:color w:val="000000"/>
          <w:sz w:val="24"/>
          <w:szCs w:val="24"/>
          <w:highlight w:val="none"/>
        </w:rPr>
        <w:t xml:space="preserve">               </w:t>
      </w:r>
      <w:r>
        <w:rPr>
          <w:rFonts w:hint="eastAsia" w:ascii="宋体" w:hAnsi="宋体" w:eastAsia="宋体" w:cs="宋体"/>
          <w:b/>
          <w:bCs/>
          <w:color w:val="000000"/>
          <w:sz w:val="24"/>
          <w:szCs w:val="24"/>
          <w:highlight w:val="none"/>
        </w:rPr>
      </w:r>
      <w:r/>
    </w:p>
    <w:p>
      <w:pPr>
        <w:pStyle w:val="801"/>
        <w:ind w:firstLine="482"/>
        <w:jc w:val="both"/>
        <w:rPr>
          <w:rFonts w:hint="eastAsia" w:ascii="宋体" w:hAnsi="宋体" w:eastAsia="宋体" w:cs="宋体"/>
          <w:color w:val="000000"/>
          <w:sz w:val="24"/>
          <w:szCs w:val="24"/>
          <w:highlight w:val="none"/>
          <w:lang w:eastAsia="zh-CN"/>
        </w:rPr>
      </w:pPr>
      <w:r>
        <w:rPr>
          <w:rFonts w:hint="eastAsia" w:ascii="宋体" w:hAnsi="宋体" w:eastAsia="宋体" w:cs="宋体"/>
          <w:b/>
          <w:bCs/>
          <w:color w:val="000000"/>
          <w:sz w:val="24"/>
          <w:szCs w:val="24"/>
          <w:highlight w:val="none"/>
        </w:rPr>
        <w:t xml:space="preserve">项目名称：</w:t>
      </w:r>
      <w:r>
        <w:rPr>
          <w:rFonts w:hint="eastAsia" w:ascii="宋体" w:hAnsi="宋体" w:eastAsia="宋体" w:cs="宋体"/>
          <w:color w:val="000000"/>
          <w:sz w:val="24"/>
          <w:szCs w:val="24"/>
          <w:highlight w:val="none"/>
        </w:rPr>
        <w:t xml:space="preserve">施桥二线船闸下游靠船墩专项养护改造项目</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二次</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01"/>
        <w:ind w:firstLine="482"/>
        <w:jc w:val="both"/>
        <w:rPr>
          <w:rFonts w:ascii="宋体" w:hAnsi="宋体" w:eastAsia="宋体" w:cs="宋体"/>
          <w:b w:val="0"/>
          <w:bCs w:val="0"/>
          <w:color w:val="000000"/>
          <w:sz w:val="24"/>
          <w:szCs w:val="24"/>
          <w:highlight w:val="none"/>
          <w:lang w:val="en-US" w:eastAsia="zh-CN"/>
        </w:rPr>
      </w:pPr>
      <w:r/>
      <w:bookmarkEnd w:id="18"/>
      <w:r>
        <w:rPr>
          <w:rFonts w:hint="eastAsia" w:ascii="宋体" w:hAnsi="宋体" w:eastAsia="宋体" w:cs="宋体"/>
          <w:b/>
          <w:bCs/>
          <w:color w:val="000000"/>
          <w:sz w:val="24"/>
          <w:szCs w:val="24"/>
          <w:highlight w:val="none"/>
        </w:rPr>
        <w:t xml:space="preserve">预算金额：</w:t>
      </w:r>
      <w:r>
        <w:rPr>
          <w:rFonts w:hint="eastAsia" w:ascii="宋体" w:hAnsi="宋体" w:eastAsia="宋体" w:cs="宋体"/>
          <w:color w:val="000000"/>
          <w:sz w:val="24"/>
          <w:szCs w:val="24"/>
          <w:highlight w:val="none"/>
          <w:lang w:val="en-US" w:eastAsia="zh-CN"/>
        </w:rPr>
        <w:t xml:space="preserve">969</w:t>
      </w:r>
      <w:r>
        <w:rPr>
          <w:rFonts w:hint="eastAsia" w:ascii="宋体" w:hAnsi="宋体" w:eastAsia="宋体" w:cs="宋体"/>
          <w:b w:val="0"/>
          <w:bCs w:val="0"/>
          <w:color w:val="000000"/>
          <w:sz w:val="24"/>
          <w:szCs w:val="24"/>
          <w:highlight w:val="none"/>
        </w:rPr>
        <w:t xml:space="preserve">万元</w:t>
      </w:r>
      <w:r>
        <w:rPr>
          <w:rFonts w:ascii="宋体" w:hAnsi="宋体" w:eastAsia="宋体" w:cs="宋体"/>
          <w:b w:val="0"/>
          <w:bCs w:val="0"/>
          <w:color w:val="000000"/>
          <w:sz w:val="24"/>
          <w:szCs w:val="24"/>
          <w:highlight w:val="none"/>
          <w:lang w:val="en-US" w:eastAsia="zh-CN"/>
        </w:rPr>
      </w:r>
      <w:r/>
    </w:p>
    <w:p>
      <w:pPr>
        <w:pStyle w:val="801"/>
        <w:ind w:firstLine="482"/>
        <w:jc w:val="both"/>
        <w:rPr>
          <w:rFonts w:ascii="宋体" w:hAnsi="宋体" w:eastAsia="宋体" w:cs="宋体"/>
          <w:b w:val="0"/>
          <w:bCs w:val="0"/>
          <w:color w:val="000000"/>
          <w:sz w:val="24"/>
          <w:szCs w:val="24"/>
          <w:highlight w:val="none"/>
          <w:lang w:val="en-US" w:eastAsia="zh-CN"/>
        </w:rPr>
      </w:pPr>
      <w:r>
        <w:rPr>
          <w:rFonts w:hint="eastAsia" w:ascii="宋体" w:hAnsi="宋体" w:eastAsia="宋体" w:cs="宋体"/>
          <w:b/>
          <w:bCs/>
          <w:color w:val="000000"/>
          <w:sz w:val="24"/>
          <w:szCs w:val="24"/>
          <w:highlight w:val="none"/>
        </w:rPr>
        <w:t xml:space="preserve">最高限价：</w:t>
      </w:r>
      <w:r>
        <w:rPr>
          <w:rFonts w:hint="eastAsia" w:ascii="宋体" w:hAnsi="宋体" w:eastAsia="宋体" w:cs="宋体"/>
          <w:b w:val="0"/>
          <w:bCs w:val="0"/>
          <w:color w:val="000000"/>
          <w:sz w:val="24"/>
          <w:szCs w:val="24"/>
          <w:highlight w:val="none"/>
        </w:rPr>
        <w:t xml:space="preserve">96</w:t>
      </w:r>
      <w:r>
        <w:rPr>
          <w:rFonts w:hint="eastAsia" w:ascii="宋体" w:hAnsi="宋体" w:eastAsia="宋体" w:cs="宋体"/>
          <w:b w:val="0"/>
          <w:bCs w:val="0"/>
          <w:color w:val="000000"/>
          <w:sz w:val="24"/>
          <w:szCs w:val="24"/>
          <w:highlight w:val="none"/>
          <w:lang w:val="en-US" w:eastAsia="zh-CN"/>
        </w:rPr>
        <w:t xml:space="preserve">0</w:t>
      </w:r>
      <w:r>
        <w:rPr>
          <w:rFonts w:hint="eastAsia" w:ascii="宋体" w:hAnsi="宋体" w:eastAsia="宋体" w:cs="宋体"/>
          <w:b w:val="0"/>
          <w:bCs w:val="0"/>
          <w:color w:val="000000"/>
          <w:sz w:val="24"/>
          <w:szCs w:val="24"/>
          <w:highlight w:val="none"/>
        </w:rPr>
        <w:t xml:space="preserve">万元</w:t>
      </w:r>
      <w:r>
        <w:rPr>
          <w:rFonts w:hint="eastAsia" w:ascii="宋体" w:hAnsi="宋体" w:eastAsia="宋体" w:cs="宋体"/>
          <w:b w:val="0"/>
          <w:bCs w:val="0"/>
          <w:color w:val="000000"/>
          <w:sz w:val="24"/>
          <w:szCs w:val="24"/>
          <w:highlight w:val="none"/>
          <w:lang w:val="en-US" w:eastAsia="zh-CN"/>
        </w:rPr>
        <w:t xml:space="preserve">(其中：暂列金30万元、安全生产费用19.2万元）。</w:t>
      </w:r>
      <w:r>
        <w:rPr>
          <w:rFonts w:ascii="宋体" w:hAnsi="宋体" w:eastAsia="宋体" w:cs="宋体"/>
          <w:b w:val="0"/>
          <w:bCs w:val="0"/>
          <w:color w:val="000000"/>
          <w:sz w:val="24"/>
          <w:szCs w:val="24"/>
          <w:highlight w:val="none"/>
          <w:lang w:val="en-US" w:eastAsia="zh-CN"/>
        </w:rPr>
      </w:r>
      <w:r/>
    </w:p>
    <w:p>
      <w:pPr>
        <w:pStyle w:val="801"/>
        <w:ind w:firstLine="482"/>
        <w:jc w:val="both"/>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项目概况：</w:t>
      </w:r>
      <w:r>
        <w:rPr>
          <w:rFonts w:hint="eastAsia" w:ascii="宋体" w:hAnsi="宋体" w:eastAsia="宋体" w:cs="宋体"/>
          <w:color w:val="000000"/>
          <w:sz w:val="24"/>
          <w:szCs w:val="24"/>
          <w:highlight w:val="none"/>
        </w:rPr>
        <w:t xml:space="preserve">施桥二线船闸下游靠船墩专项养护改造项目主要养护改造内容如下：</w:t>
      </w:r>
      <w:r>
        <w:rPr>
          <w:rFonts w:hint="eastAsia" w:ascii="宋体" w:hAnsi="宋体" w:eastAsia="宋体" w:cs="宋体"/>
          <w:color w:val="000000"/>
          <w:sz w:val="24"/>
          <w:szCs w:val="24"/>
          <w:highlight w:val="none"/>
        </w:rPr>
      </w:r>
      <w:r/>
    </w:p>
    <w:p>
      <w:pPr>
        <w:pStyle w:val="801"/>
        <w:ind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⑴下游 4#～15#靠船墩加固改造，更换、新增钢护面：4#～14#靠船墩全部采用下</w:t>
      </w:r>
      <w:r>
        <w:rPr>
          <w:rFonts w:hint="eastAsia" w:ascii="宋体" w:hAnsi="宋体" w:eastAsia="宋体" w:cs="宋体"/>
          <w:color w:val="000000"/>
          <w:sz w:val="24"/>
          <w:szCs w:val="24"/>
          <w:highlight w:val="none"/>
        </w:rPr>
      </w:r>
      <w:r/>
    </w:p>
    <w:p>
      <w:pPr>
        <w:pStyle w:val="801"/>
        <w:ind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部预制钢筋混凝土套箱基础+上部现浇墩身，15#靠船墩采用水上部分迎水面部分拆除后重新浇筑混凝土。 </w:t>
      </w:r>
      <w:r>
        <w:rPr>
          <w:rFonts w:hint="eastAsia" w:ascii="宋体" w:hAnsi="宋体" w:eastAsia="宋体" w:cs="宋体"/>
          <w:color w:val="000000"/>
          <w:sz w:val="24"/>
          <w:szCs w:val="24"/>
          <w:highlight w:val="none"/>
        </w:rPr>
      </w:r>
      <w:r/>
    </w:p>
    <w:p>
      <w:pPr>
        <w:pStyle w:val="801"/>
        <w:ind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⑵更换 1#～15#靠船墩 T 型板梁为空心板梁。 </w:t>
      </w:r>
      <w:r>
        <w:rPr>
          <w:rFonts w:hint="eastAsia" w:ascii="宋体" w:hAnsi="宋体" w:eastAsia="宋体" w:cs="宋体"/>
          <w:color w:val="000000"/>
          <w:sz w:val="24"/>
          <w:szCs w:val="24"/>
          <w:highlight w:val="none"/>
        </w:rPr>
      </w:r>
      <w:r/>
    </w:p>
    <w:p>
      <w:pPr>
        <w:pStyle w:val="801"/>
        <w:ind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⑶导航墙、1#～3#靠船墩出新：挡浪板涂刷涂料、电缆沟盖板更换、压顶 道路硬化、墩体迎水面勾缝、混凝土出新，钢护木、钢包角等钢结构除锈后涂刷防腐涂层。 </w:t>
      </w:r>
      <w:r>
        <w:rPr>
          <w:rFonts w:hint="eastAsia" w:ascii="宋体" w:hAnsi="宋体" w:eastAsia="宋体" w:cs="宋体"/>
          <w:color w:val="000000"/>
          <w:sz w:val="24"/>
          <w:szCs w:val="24"/>
          <w:highlight w:val="none"/>
        </w:rPr>
      </w:r>
      <w:r/>
    </w:p>
    <w:p>
      <w:pPr>
        <w:pStyle w:val="801"/>
        <w:ind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⑷4#～15#靠船墩设置防碰撞预警装置（12 套）、升降式生活垃圾智能接 收设施（2 套）、智慧灯杆（6 套）、靠船墩位移自动监测系统（2 套）。 </w:t>
      </w:r>
      <w:r>
        <w:rPr>
          <w:rFonts w:hint="eastAsia" w:ascii="宋体" w:hAnsi="宋体" w:eastAsia="宋体" w:cs="宋体"/>
          <w:color w:val="000000"/>
          <w:sz w:val="24"/>
          <w:szCs w:val="24"/>
          <w:highlight w:val="none"/>
        </w:rPr>
      </w:r>
      <w:r/>
    </w:p>
    <w:p>
      <w:pPr>
        <w:pStyle w:val="801"/>
        <w:ind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⑸更换系船柱、系船钩、铁爬梯、栏杆（不锈钢）、</w:t>
      </w:r>
      <w:r>
        <w:rPr>
          <w:rFonts w:hint="eastAsia" w:ascii="宋体" w:hAnsi="宋体" w:eastAsia="宋体" w:cs="宋体"/>
          <w:color w:val="000000"/>
          <w:sz w:val="24"/>
          <w:szCs w:val="24"/>
          <w:highlight w:val="none"/>
          <w:lang w:val="en-US" w:eastAsia="zh-CN"/>
        </w:rPr>
        <w:t xml:space="preserve">挡</w:t>
      </w:r>
      <w:r>
        <w:rPr>
          <w:rFonts w:hint="eastAsia" w:ascii="宋体" w:hAnsi="宋体" w:eastAsia="宋体" w:cs="宋体"/>
          <w:color w:val="000000"/>
          <w:sz w:val="24"/>
          <w:szCs w:val="24"/>
          <w:highlight w:val="none"/>
        </w:rPr>
        <w:t xml:space="preserve">位牌、电缆及桥架， 原宣传牌牌面更新。</w:t>
      </w:r>
      <w:r>
        <w:rPr>
          <w:rFonts w:hint="eastAsia" w:ascii="宋体" w:hAnsi="宋体" w:eastAsia="宋体" w:cs="宋体"/>
          <w:color w:val="000000"/>
          <w:sz w:val="24"/>
          <w:szCs w:val="24"/>
          <w:highlight w:val="none"/>
        </w:rPr>
      </w:r>
      <w:r/>
    </w:p>
    <w:p>
      <w:pPr>
        <w:pStyle w:val="801"/>
        <w:ind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具体实施内容以施工图设计文件及工程量清单为准，包括为完成上述工程所必须的相关临时工程的施工以及缺陷责任期的缺陷修复。</w:t>
      </w:r>
      <w:r>
        <w:rPr>
          <w:rFonts w:hint="eastAsia" w:ascii="宋体" w:hAnsi="宋体" w:eastAsia="宋体" w:cs="宋体"/>
          <w:color w:val="000000"/>
          <w:sz w:val="24"/>
          <w:szCs w:val="24"/>
          <w:highlight w:val="none"/>
        </w:rPr>
      </w:r>
      <w:r/>
    </w:p>
    <w:p>
      <w:pPr>
        <w:pStyle w:val="801"/>
        <w:ind w:firstLine="482"/>
        <w:jc w:val="both"/>
        <w:rPr>
          <w:rFonts w:hint="eastAsia" w:ascii="宋体" w:hAnsi="宋体" w:eastAsia="宋体" w:cs="宋体"/>
          <w:b/>
          <w:bCs/>
          <w:color w:val="000000"/>
          <w:sz w:val="24"/>
          <w:szCs w:val="24"/>
          <w:highlight w:val="none"/>
        </w:rPr>
      </w:pPr>
      <w:r>
        <w:rPr>
          <w:rFonts w:hint="eastAsia" w:ascii="宋体" w:hAnsi="宋体" w:eastAsia="宋体" w:cs="宋体"/>
          <w:b/>
          <w:color w:val="000000"/>
          <w:sz w:val="24"/>
          <w:szCs w:val="24"/>
          <w:highlight w:val="none"/>
        </w:rPr>
        <w:t xml:space="preserve">计划工期：</w:t>
      </w:r>
      <w:r>
        <w:rPr>
          <w:rFonts w:hint="eastAsia" w:ascii="宋体" w:hAnsi="宋体" w:eastAsia="宋体" w:cs="宋体"/>
          <w:bCs/>
          <w:color w:val="000000"/>
          <w:sz w:val="24"/>
          <w:szCs w:val="24"/>
          <w:highlight w:val="none"/>
        </w:rPr>
        <w:t xml:space="preserve">240日历天（具体以监理签发的开工令为准），</w:t>
      </w:r>
      <w:r>
        <w:rPr>
          <w:rFonts w:hint="eastAsia" w:ascii="宋体" w:hAnsi="宋体" w:eastAsia="宋体" w:cs="宋体"/>
          <w:b/>
          <w:bCs w:val="0"/>
          <w:color w:val="000000"/>
          <w:sz w:val="24"/>
          <w:szCs w:val="24"/>
          <w:highlight w:val="none"/>
        </w:rPr>
        <w:t xml:space="preserve">缺陷责任期：</w:t>
      </w:r>
      <w:r>
        <w:rPr>
          <w:rFonts w:hint="eastAsia" w:ascii="宋体" w:hAnsi="宋体" w:eastAsia="宋体" w:cs="宋体"/>
          <w:b/>
          <w:bCs w:val="0"/>
          <w:color w:val="000000"/>
          <w:sz w:val="24"/>
          <w:szCs w:val="24"/>
          <w:highlight w:val="none"/>
          <w:lang w:val="en-US" w:eastAsia="zh-CN"/>
        </w:rPr>
        <w:t xml:space="preserve">12</w:t>
      </w:r>
      <w:r>
        <w:rPr>
          <w:rFonts w:hint="eastAsia" w:ascii="宋体" w:hAnsi="宋体" w:eastAsia="宋体" w:cs="宋体"/>
          <w:b/>
          <w:bCs w:val="0"/>
          <w:color w:val="000000"/>
          <w:sz w:val="24"/>
          <w:szCs w:val="24"/>
          <w:highlight w:val="none"/>
        </w:rPr>
        <w:t xml:space="preserve">个月</w:t>
      </w:r>
      <w:r>
        <w:rPr>
          <w:rFonts w:hint="eastAsia" w:ascii="宋体" w:hAnsi="宋体" w:eastAsia="宋体" w:cs="宋体"/>
          <w:bCs/>
          <w:color w:val="000000"/>
          <w:sz w:val="24"/>
          <w:szCs w:val="24"/>
          <w:highlight w:val="none"/>
        </w:rPr>
        <w:t xml:space="preserve">。</w:t>
      </w:r>
      <w:r>
        <w:rPr>
          <w:rFonts w:hint="eastAsia" w:ascii="宋体" w:hAnsi="宋体" w:eastAsia="宋体" w:cs="宋体"/>
          <w:b/>
          <w:bCs/>
          <w:color w:val="000000"/>
          <w:sz w:val="24"/>
          <w:szCs w:val="24"/>
          <w:highlight w:val="none"/>
        </w:rPr>
      </w:r>
      <w:r/>
    </w:p>
    <w:p>
      <w:pPr>
        <w:pStyle w:val="801"/>
        <w:ind w:firstLine="482"/>
        <w:jc w:val="both"/>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质量要求：</w:t>
      </w:r>
      <w:r>
        <w:rPr>
          <w:rFonts w:hint="eastAsia" w:ascii="宋体" w:hAnsi="宋体" w:eastAsia="宋体" w:cs="宋体"/>
          <w:color w:val="000000"/>
          <w:sz w:val="24"/>
          <w:szCs w:val="24"/>
          <w:highlight w:val="none"/>
        </w:rPr>
        <w:t xml:space="preserve">本工程竣工验收的质量评定：合格，综合评定：优良。</w:t>
      </w:r>
      <w:r>
        <w:rPr>
          <w:rFonts w:hint="eastAsia" w:ascii="宋体" w:hAnsi="宋体" w:eastAsia="宋体" w:cs="宋体"/>
          <w:color w:val="000000"/>
          <w:sz w:val="24"/>
          <w:szCs w:val="24"/>
          <w:highlight w:val="none"/>
        </w:rPr>
      </w:r>
      <w:r/>
    </w:p>
    <w:p>
      <w:pPr>
        <w:pStyle w:val="801"/>
        <w:ind w:firstLine="482"/>
        <w:jc w:val="both"/>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安全目标：</w:t>
      </w:r>
      <w:r>
        <w:rPr>
          <w:rFonts w:hint="eastAsia" w:ascii="宋体" w:hAnsi="宋体" w:eastAsia="宋体" w:cs="宋体"/>
          <w:color w:val="000000"/>
          <w:sz w:val="24"/>
          <w:szCs w:val="24"/>
          <w:highlight w:val="none"/>
        </w:rPr>
        <w:t xml:space="preserve">落实安全生产主体责任，确保本工程无安全生产责任事故发生，人员零伤亡。</w:t>
      </w:r>
      <w:r>
        <w:rPr>
          <w:rFonts w:hint="eastAsia" w:ascii="宋体" w:hAnsi="宋体" w:eastAsia="宋体" w:cs="宋体"/>
          <w:color w:val="000000"/>
          <w:sz w:val="24"/>
          <w:szCs w:val="24"/>
          <w:highlight w:val="none"/>
        </w:rPr>
      </w:r>
      <w:r/>
    </w:p>
    <w:p>
      <w:pPr>
        <w:pStyle w:val="801"/>
        <w:ind w:firstLine="482"/>
        <w:jc w:val="both"/>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所属行业：建筑业</w:t>
      </w:r>
      <w:r>
        <w:rPr>
          <w:rFonts w:hint="eastAsia" w:ascii="宋体" w:hAnsi="宋体" w:eastAsia="宋体" w:cs="宋体"/>
          <w:b/>
          <w:bCs/>
          <w:color w:val="000000"/>
          <w:sz w:val="24"/>
          <w:szCs w:val="24"/>
          <w:highlight w:val="none"/>
        </w:rPr>
      </w:r>
      <w:r/>
    </w:p>
    <w:p>
      <w:pPr>
        <w:pStyle w:val="801"/>
        <w:ind w:firstLine="482"/>
        <w:jc w:val="both"/>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是否专门面向中小型企业：</w:t>
      </w:r>
      <w:r>
        <w:rPr>
          <w:rFonts w:hint="eastAsia" w:ascii="宋体" w:hAnsi="宋体" w:eastAsia="宋体" w:cs="宋体"/>
          <w:color w:val="000000"/>
          <w:sz w:val="24"/>
          <w:szCs w:val="24"/>
          <w:highlight w:val="none"/>
        </w:rPr>
        <w:t xml:space="preserve">否</w:t>
      </w:r>
      <w:r>
        <w:rPr>
          <w:rFonts w:hint="eastAsia" w:ascii="宋体" w:hAnsi="宋体" w:eastAsia="宋体" w:cs="宋体"/>
          <w:b/>
          <w:bCs/>
          <w:color w:val="000000"/>
          <w:sz w:val="24"/>
          <w:szCs w:val="24"/>
          <w:highlight w:val="none"/>
        </w:rPr>
      </w:r>
      <w:r/>
    </w:p>
    <w:p>
      <w:pPr>
        <w:pStyle w:val="801"/>
        <w:ind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本项目（是/否）接受联合体投标：本项目</w:t>
      </w:r>
      <w:r>
        <w:rPr>
          <w:rFonts w:hint="eastAsia" w:ascii="宋体" w:hAnsi="宋体" w:eastAsia="宋体" w:cs="宋体"/>
          <w:color w:val="000000"/>
          <w:sz w:val="24"/>
          <w:szCs w:val="24"/>
          <w:highlight w:val="none"/>
          <w:u w:val="single"/>
        </w:rPr>
        <w:t xml:space="preserve"> </w:t>
      </w:r>
      <w:r>
        <w:rPr>
          <w:rFonts w:hint="eastAsia" w:ascii="宋体" w:hAnsi="宋体" w:eastAsia="宋体" w:cs="宋体"/>
          <w:b/>
          <w:bCs/>
          <w:color w:val="000000"/>
          <w:sz w:val="24"/>
          <w:szCs w:val="24"/>
          <w:highlight w:val="none"/>
          <w:u w:val="single"/>
        </w:rPr>
        <w:t xml:space="preserve">不接受 </w:t>
      </w:r>
      <w:r>
        <w:rPr>
          <w:rFonts w:hint="eastAsia" w:ascii="宋体" w:hAnsi="宋体" w:eastAsia="宋体" w:cs="宋体"/>
          <w:color w:val="000000"/>
          <w:sz w:val="24"/>
          <w:szCs w:val="24"/>
          <w:highlight w:val="none"/>
        </w:rPr>
        <w:t xml:space="preserve">联合体。</w:t>
      </w:r>
      <w:bookmarkStart w:id="19" w:name="_Toc26389"/>
      <w:r/>
      <w:bookmarkStart w:id="20" w:name="_Toc11965"/>
      <w:r/>
      <w:bookmarkStart w:id="21" w:name="_Toc17697"/>
      <w:r/>
      <w:bookmarkStart w:id="22" w:name="_Toc28359003"/>
      <w:r/>
      <w:bookmarkStart w:id="23" w:name="_Toc35393791"/>
      <w:r/>
      <w:bookmarkStart w:id="24" w:name="_Toc27817"/>
      <w:r/>
      <w:bookmarkStart w:id="25" w:name="_Toc31255"/>
      <w:r/>
      <w:bookmarkStart w:id="26" w:name="_Toc28359080"/>
      <w:r/>
      <w:bookmarkStart w:id="27" w:name="_Toc35393622"/>
      <w:r>
        <w:rPr>
          <w:rFonts w:hint="eastAsia" w:ascii="宋体" w:hAnsi="宋体" w:eastAsia="宋体" w:cs="宋体"/>
          <w:color w:val="000000"/>
          <w:sz w:val="24"/>
          <w:szCs w:val="24"/>
          <w:highlight w:val="none"/>
        </w:rPr>
      </w:r>
      <w:r/>
    </w:p>
    <w:p>
      <w:pPr>
        <w:pStyle w:val="803"/>
        <w:jc w:val="both"/>
        <w:keepLines w:val="0"/>
        <w:keepNext w:val="0"/>
        <w:spacing w:before="0" w:after="0" w:line="360" w:lineRule="auto"/>
        <w:rPr>
          <w:rFonts w:hint="eastAsia" w:ascii="宋体" w:hAnsi="宋体" w:eastAsia="宋体" w:cs="宋体"/>
          <w:color w:val="000000"/>
          <w:sz w:val="24"/>
          <w:szCs w:val="24"/>
          <w:highlight w:val="none"/>
        </w:rPr>
      </w:pPr>
      <w:r/>
      <w:bookmarkStart w:id="28" w:name="_Toc211090851"/>
      <w:r>
        <w:rPr>
          <w:rFonts w:hint="eastAsia" w:ascii="宋体" w:hAnsi="宋体" w:eastAsia="宋体" w:cs="宋体"/>
          <w:color w:val="000000"/>
          <w:sz w:val="24"/>
          <w:szCs w:val="24"/>
          <w:highlight w:val="none"/>
        </w:rPr>
        <w:t xml:space="preserve">二、申请人的资格要求：</w:t>
      </w:r>
      <w:bookmarkEnd w:id="19"/>
      <w:r/>
      <w:bookmarkEnd w:id="20"/>
      <w:r/>
      <w:bookmarkEnd w:id="21"/>
      <w:r/>
      <w:bookmarkEnd w:id="22"/>
      <w:r/>
      <w:bookmarkEnd w:id="23"/>
      <w:r/>
      <w:bookmarkEnd w:id="24"/>
      <w:r/>
      <w:bookmarkEnd w:id="25"/>
      <w:r/>
      <w:bookmarkEnd w:id="26"/>
      <w:r/>
      <w:bookmarkEnd w:id="27"/>
      <w:r/>
      <w:bookmarkEnd w:id="28"/>
      <w:r>
        <w:rPr>
          <w:rFonts w:hint="eastAsia" w:ascii="宋体" w:hAnsi="宋体" w:eastAsia="宋体" w:cs="宋体"/>
          <w:color w:val="000000"/>
          <w:sz w:val="24"/>
          <w:szCs w:val="24"/>
          <w:highlight w:val="none"/>
        </w:rPr>
      </w:r>
      <w:r/>
    </w:p>
    <w:p>
      <w:pPr>
        <w:pStyle w:val="801"/>
        <w:ind w:firstLine="480"/>
        <w:jc w:val="both"/>
        <w:rPr>
          <w:rFonts w:hint="eastAsia" w:ascii="宋体" w:hAnsi="宋体" w:eastAsia="宋体" w:cs="宋体"/>
          <w:color w:val="000000"/>
          <w:sz w:val="24"/>
          <w:szCs w:val="24"/>
          <w:highlight w:val="none"/>
        </w:rPr>
      </w:pPr>
      <w:r/>
      <w:bookmarkStart w:id="29" w:name="_Toc28359081"/>
      <w:r/>
      <w:bookmarkStart w:id="30" w:name="_Toc28359004"/>
      <w:r>
        <w:rPr>
          <w:rFonts w:hint="eastAsia" w:ascii="宋体" w:hAnsi="宋体" w:eastAsia="宋体" w:cs="宋体"/>
          <w:color w:val="000000"/>
          <w:sz w:val="24"/>
          <w:szCs w:val="24"/>
          <w:highlight w:val="none"/>
        </w:rPr>
        <w:t xml:space="preserve">1.满足《中华人民共和国政府采购法》第二十二条规定；</w:t>
      </w:r>
      <w:r>
        <w:rPr>
          <w:rFonts w:hint="eastAsia" w:ascii="宋体" w:hAnsi="宋体" w:eastAsia="宋体" w:cs="宋体"/>
          <w:color w:val="000000"/>
          <w:sz w:val="24"/>
          <w:szCs w:val="24"/>
          <w:highlight w:val="none"/>
        </w:rPr>
      </w:r>
      <w:r/>
    </w:p>
    <w:p>
      <w:pPr>
        <w:pStyle w:val="801"/>
        <w:ind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2.落实政府采购政策需满足的资格要求：</w:t>
      </w:r>
      <w:r>
        <w:rPr>
          <w:rFonts w:hint="eastAsia" w:ascii="宋体" w:hAnsi="宋体" w:eastAsia="宋体" w:cs="宋体"/>
          <w:color w:val="000000"/>
          <w:sz w:val="24"/>
          <w:szCs w:val="24"/>
          <w:highlight w:val="none"/>
        </w:rPr>
      </w:r>
      <w:r/>
    </w:p>
    <w:p>
      <w:pPr>
        <w:pStyle w:val="801"/>
        <w:ind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本项目为政府采购工程，按照以下</w:t>
      </w:r>
      <w:r>
        <w:rPr>
          <w:rFonts w:hint="eastAsia" w:ascii="宋体" w:hAnsi="宋体" w:eastAsia="宋体" w:cs="宋体"/>
          <w:b/>
          <w:bCs/>
          <w:color w:val="000000"/>
          <w:sz w:val="24"/>
          <w:szCs w:val="24"/>
          <w:highlight w:val="none"/>
        </w:rPr>
        <w:t xml:space="preserve">第</w:t>
      </w:r>
      <w:r>
        <w:rPr>
          <w:rFonts w:hint="eastAsia" w:ascii="宋体" w:hAnsi="宋体" w:eastAsia="宋体" w:cs="宋体"/>
          <w:b/>
          <w:bCs/>
          <w:color w:val="000000"/>
          <w:sz w:val="24"/>
          <w:szCs w:val="24"/>
          <w:highlight w:val="none"/>
          <w:u w:val="single"/>
        </w:rPr>
        <w:t xml:space="preserve">（4）</w:t>
      </w:r>
      <w:r>
        <w:rPr>
          <w:rFonts w:hint="eastAsia" w:ascii="宋体" w:hAnsi="宋体" w:eastAsia="宋体" w:cs="宋体"/>
          <w:b/>
          <w:bCs/>
          <w:color w:val="000000"/>
          <w:sz w:val="24"/>
          <w:szCs w:val="24"/>
          <w:highlight w:val="none"/>
        </w:rPr>
        <w:t xml:space="preserve">种方式</w:t>
      </w:r>
      <w:r>
        <w:rPr>
          <w:rFonts w:hint="eastAsia" w:ascii="宋体" w:hAnsi="宋体" w:eastAsia="宋体" w:cs="宋体"/>
          <w:color w:val="000000"/>
          <w:sz w:val="24"/>
          <w:szCs w:val="24"/>
          <w:highlight w:val="none"/>
        </w:rPr>
        <w:t xml:space="preserve">落实政府采购促进中小企业发展的要求：</w:t>
      </w:r>
      <w:r>
        <w:rPr>
          <w:rFonts w:hint="eastAsia" w:ascii="宋体" w:hAnsi="宋体" w:eastAsia="宋体" w:cs="宋体"/>
          <w:color w:val="000000"/>
          <w:sz w:val="24"/>
          <w:szCs w:val="24"/>
          <w:highlight w:val="none"/>
        </w:rPr>
      </w:r>
      <w:r/>
    </w:p>
    <w:p>
      <w:pPr>
        <w:pStyle w:val="801"/>
        <w:ind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⑴本项目整体专门面向中小企业。</w:t>
      </w:r>
      <w:r>
        <w:rPr>
          <w:rFonts w:hint="eastAsia" w:ascii="宋体" w:hAnsi="宋体" w:eastAsia="宋体" w:cs="宋体"/>
          <w:color w:val="000000"/>
          <w:sz w:val="24"/>
          <w:szCs w:val="24"/>
          <w:highlight w:val="none"/>
        </w:rPr>
      </w:r>
      <w:r/>
    </w:p>
    <w:p>
      <w:pPr>
        <w:pStyle w:val="801"/>
        <w:ind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⑵本项目整体专门面向小微企业。</w:t>
      </w:r>
      <w:r>
        <w:rPr>
          <w:rFonts w:hint="eastAsia" w:ascii="宋体" w:hAnsi="宋体" w:eastAsia="宋体" w:cs="宋体"/>
          <w:color w:val="000000"/>
          <w:sz w:val="24"/>
          <w:szCs w:val="24"/>
          <w:highlight w:val="none"/>
        </w:rPr>
      </w:r>
      <w:r/>
    </w:p>
    <w:p>
      <w:pPr>
        <w:pStyle w:val="801"/>
        <w:ind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⑶本项目通过以下第（/）种方式预留部分采购份额面向中小企业：</w:t>
      </w:r>
      <w:r>
        <w:rPr>
          <w:rFonts w:hint="eastAsia" w:ascii="宋体" w:hAnsi="宋体" w:eastAsia="宋体" w:cs="宋体"/>
          <w:color w:val="000000"/>
          <w:sz w:val="24"/>
          <w:szCs w:val="24"/>
          <w:highlight w:val="none"/>
        </w:rPr>
      </w:r>
      <w:r/>
    </w:p>
    <w:p>
      <w:pPr>
        <w:pStyle w:val="801"/>
        <w:ind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①本项目要求供应商以联合体形式参加，中小企业合同金额应当达到的比例为/%，其中小微企业所占比例应为/%（两项比例均应符合《政府采购促进中小企业发展管理办法》第八条规定）。</w:t>
      </w:r>
      <w:r>
        <w:rPr>
          <w:rFonts w:hint="eastAsia" w:ascii="宋体" w:hAnsi="宋体" w:eastAsia="宋体" w:cs="宋体"/>
          <w:color w:val="000000"/>
          <w:sz w:val="24"/>
          <w:szCs w:val="24"/>
          <w:highlight w:val="none"/>
        </w:rPr>
      </w:r>
      <w:r/>
    </w:p>
    <w:p>
      <w:pPr>
        <w:pStyle w:val="801"/>
        <w:ind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②本项目要求供应商进行合同分包，中小企业合同金额应当达到的比例为/%，其中小微企业所占比例应为/%（两项比例均应符合《政府采购促进中小企业发展管理办法》第八条规定）。</w:t>
      </w:r>
      <w:r>
        <w:rPr>
          <w:rFonts w:hint="eastAsia" w:ascii="宋体" w:hAnsi="宋体" w:eastAsia="宋体" w:cs="宋体"/>
          <w:color w:val="000000"/>
          <w:sz w:val="24"/>
          <w:szCs w:val="24"/>
          <w:highlight w:val="none"/>
        </w:rPr>
      </w:r>
      <w:r/>
    </w:p>
    <w:p>
      <w:pPr>
        <w:pStyle w:val="801"/>
        <w:ind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⑷</w:t>
      </w:r>
      <w:r>
        <w:rPr>
          <w:rFonts w:hint="eastAsia" w:ascii="宋体" w:hAnsi="宋体" w:eastAsia="宋体" w:cs="宋体"/>
          <w:b/>
          <w:bCs/>
          <w:color w:val="000000"/>
          <w:sz w:val="24"/>
          <w:szCs w:val="24"/>
          <w:highlight w:val="none"/>
        </w:rPr>
        <w:t xml:space="preserve">本项目为非预留份额的采购项目或采购包，执行价格扣除优惠政策</w:t>
      </w:r>
      <w:r>
        <w:rPr>
          <w:rFonts w:hint="eastAsia" w:ascii="宋体" w:hAnsi="宋体" w:eastAsia="宋体" w:cs="宋体"/>
          <w:color w:val="000000"/>
          <w:sz w:val="24"/>
          <w:szCs w:val="24"/>
          <w:highlight w:val="none"/>
        </w:rPr>
        <w:t xml:space="preserve">，具体详见第三章“评标办法”。</w:t>
      </w:r>
      <w:r>
        <w:rPr>
          <w:rFonts w:hint="eastAsia" w:ascii="宋体" w:hAnsi="宋体" w:eastAsia="宋体" w:cs="宋体"/>
          <w:color w:val="000000"/>
          <w:sz w:val="24"/>
          <w:szCs w:val="24"/>
          <w:highlight w:val="none"/>
        </w:rPr>
      </w:r>
      <w:r/>
    </w:p>
    <w:p>
      <w:pPr>
        <w:pStyle w:val="801"/>
        <w:ind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3.本项目的特定资格要求：</w:t>
      </w:r>
      <w:r>
        <w:rPr>
          <w:rFonts w:hint="eastAsia" w:ascii="宋体" w:hAnsi="宋体" w:eastAsia="宋体" w:cs="宋体"/>
          <w:color w:val="000000"/>
          <w:sz w:val="24"/>
          <w:szCs w:val="24"/>
          <w:highlight w:val="none"/>
        </w:rPr>
      </w:r>
      <w:r/>
    </w:p>
    <w:p>
      <w:pPr>
        <w:pStyle w:val="801"/>
        <w:ind w:firstLine="480"/>
        <w:jc w:val="both"/>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 xml:space="preserve">⑴资质要求：具有住建行政主管部门核发的有效的《安全生产许可证》；</w:t>
      </w:r>
      <w:r>
        <w:rPr>
          <w:rFonts w:hint="eastAsia" w:ascii="宋体" w:hAnsi="宋体" w:eastAsia="宋体" w:cs="宋体"/>
          <w:b/>
          <w:bCs/>
          <w:color w:val="000000"/>
          <w:sz w:val="24"/>
          <w:szCs w:val="24"/>
          <w:highlight w:val="none"/>
        </w:rPr>
        <w:t xml:space="preserve">具有住建行政主管部门颁发的有效期内的港口与航道工程施工总承包壹级及以上或航道工程专业承包壹级资质</w:t>
      </w:r>
      <w:r>
        <w:rPr>
          <w:rFonts w:hint="eastAsia" w:ascii="宋体" w:hAnsi="宋体" w:eastAsia="宋体" w:cs="宋体"/>
          <w:b/>
          <w:bCs/>
          <w:color w:val="000000"/>
          <w:sz w:val="24"/>
          <w:szCs w:val="24"/>
          <w:highlight w:val="none"/>
        </w:rPr>
        <w:t xml:space="preserve">或通航建筑物工程专业承包</w:t>
      </w:r>
      <w:r>
        <w:rPr>
          <w:rFonts w:hint="eastAsia" w:ascii="宋体" w:hAnsi="宋体" w:eastAsia="宋体" w:cs="宋体"/>
          <w:b/>
          <w:bCs/>
          <w:color w:val="000000"/>
          <w:sz w:val="24"/>
          <w:szCs w:val="24"/>
          <w:highlight w:val="none"/>
          <w:lang w:val="en-US" w:eastAsia="zh-CN"/>
        </w:rPr>
        <w:t xml:space="preserve">壹级</w:t>
      </w:r>
      <w:r>
        <w:rPr>
          <w:rFonts w:hint="eastAsia" w:ascii="宋体" w:hAnsi="宋体" w:eastAsia="宋体" w:cs="宋体"/>
          <w:b/>
          <w:bCs/>
          <w:color w:val="000000"/>
          <w:sz w:val="24"/>
          <w:szCs w:val="24"/>
          <w:highlight w:val="none"/>
        </w:rPr>
        <w:t xml:space="preserve">资质</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rPr>
      </w:r>
      <w:r/>
    </w:p>
    <w:p>
      <w:pPr>
        <w:pStyle w:val="801"/>
        <w:ind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⑵主要人员要求：</w:t>
      </w:r>
      <w:r>
        <w:rPr>
          <w:rFonts w:hint="eastAsia" w:ascii="宋体" w:hAnsi="宋体" w:eastAsia="宋体" w:cs="宋体"/>
          <w:color w:val="000000"/>
          <w:sz w:val="24"/>
          <w:szCs w:val="24"/>
          <w:highlight w:val="none"/>
        </w:rPr>
      </w:r>
      <w:r/>
    </w:p>
    <w:p>
      <w:pPr>
        <w:pStyle w:val="801"/>
        <w:ind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①拟投入本项目的项目经理应持有有效二级及以上注册建造师（港口与航道工程专业或水利水电工程）证书，具有省级交通运输行政主管部门核发的《公路水运工程施工企业主要负责人和安全生产管理人员安全生产考核合格证书》（B类）或《公路水运工程施工单位主要负责人、项目负责人和专职安全生产管理人员安全生产考核合格证书》（B类）。</w:t>
      </w:r>
      <w:r>
        <w:rPr>
          <w:rFonts w:hint="eastAsia" w:ascii="宋体" w:hAnsi="宋体" w:eastAsia="宋体" w:cs="宋体"/>
          <w:color w:val="000000"/>
          <w:sz w:val="24"/>
          <w:szCs w:val="24"/>
          <w:highlight w:val="none"/>
        </w:rPr>
      </w:r>
      <w:r/>
    </w:p>
    <w:p>
      <w:pPr>
        <w:pStyle w:val="801"/>
        <w:ind w:firstLine="480"/>
        <w:jc w:val="both"/>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②项目总工（技术负责人）具有工程师及以上职称。</w:t>
      </w:r>
      <w:r>
        <w:rPr>
          <w:rFonts w:ascii="宋体" w:hAnsi="宋体" w:eastAsia="宋体" w:cs="宋体"/>
          <w:color w:val="000000"/>
          <w:sz w:val="24"/>
          <w:szCs w:val="24"/>
          <w:highlight w:val="none"/>
          <w:lang w:val="en-US" w:eastAsia="zh-CN"/>
        </w:rPr>
      </w:r>
      <w:r/>
    </w:p>
    <w:p>
      <w:pPr>
        <w:pStyle w:val="801"/>
        <w:ind w:firstLine="482"/>
        <w:jc w:val="both"/>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注：根据住房和城乡建设部办公厅关于全面实行一级建造师</w:t>
      </w:r>
      <w:r>
        <w:rPr>
          <w:rFonts w:hint="eastAsia" w:ascii="宋体" w:hAnsi="宋体" w:eastAsia="宋体" w:cs="宋体"/>
          <w:b/>
          <w:bCs/>
          <w:color w:val="000000"/>
          <w:sz w:val="24"/>
          <w:szCs w:val="24"/>
          <w:highlight w:val="none"/>
        </w:rPr>
        <w:t xml:space="preserve">电子注册证书的通知(建办市〔2021〕40号)要求，自2021年10月15日起，在全国范围内实行一级建造师电子证书，电子证书式样按照《全国一体化在线政务服务平台电子证照一级建造师注册证书》标准执行。自2022年1月1日起，一级建造师统一使用电子证书，纸质注册证书作废。各投标人须上传一级建造师证书电子注册证书，电子注册证书应当符合相关文件规定，签名图像应当与持证人个人手写签名笔迹一致，证书应当在使用有效期限内。若文件中的证书复印件或扫描件无法识别有效信息的，视为无效。投标人将自行承担资格审查不通过等相应后果。</w:t>
      </w:r>
      <w:r>
        <w:rPr>
          <w:rFonts w:hint="eastAsia" w:ascii="宋体" w:hAnsi="宋体" w:eastAsia="宋体" w:cs="宋体"/>
          <w:b/>
          <w:bCs/>
          <w:color w:val="000000"/>
          <w:sz w:val="24"/>
          <w:szCs w:val="24"/>
          <w:highlight w:val="none"/>
        </w:rPr>
      </w:r>
      <w:r/>
    </w:p>
    <w:p>
      <w:pPr>
        <w:pStyle w:val="801"/>
        <w:ind w:firstLine="482"/>
        <w:jc w:val="both"/>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投标人拟委任项目经理若为二级建造师的，须附其有效的二级建造师注册证书扫描件，建造师注册地住建行政主管部门有明确规定使用电子证书的，则应附建造师电子注册证书扫描件。投标文件中未提供上述扫描件的，其投标将被否决；使用电子注册证书的，证书扫描件若存在投标文件递交截止时间当日超出使用时限或无手写签名或手写签名与签名图像笔迹不一致等证书注册地住建行政主管部门规定的无效情形的，该证书无效，其投标将被否决。</w:t>
      </w:r>
      <w:r>
        <w:rPr>
          <w:rFonts w:hint="eastAsia" w:ascii="宋体" w:hAnsi="宋体" w:eastAsia="宋体" w:cs="宋体"/>
          <w:b/>
          <w:bCs/>
          <w:color w:val="000000"/>
          <w:sz w:val="24"/>
          <w:szCs w:val="24"/>
          <w:highlight w:val="none"/>
        </w:rPr>
      </w:r>
      <w:r/>
    </w:p>
    <w:p>
      <w:pPr>
        <w:pStyle w:val="801"/>
        <w:ind w:firstLine="480"/>
        <w:jc w:val="both"/>
        <w:rPr>
          <w:rFonts w:hint="eastAsia" w:ascii="宋体" w:hAnsi="宋体" w:eastAsia="宋体" w:cs="宋体"/>
          <w:color w:val="000000"/>
          <w:sz w:val="24"/>
          <w:szCs w:val="24"/>
          <w:highlight w:val="none"/>
        </w:rPr>
      </w:pPr>
      <w:r>
        <w:rPr>
          <w:rFonts w:ascii="宋体" w:hAnsi="宋体" w:eastAsia="宋体" w:cs="宋体"/>
          <w:color w:val="000000"/>
          <w:sz w:val="24"/>
          <w:szCs w:val="24"/>
          <w:highlight w:val="none"/>
        </w:rPr>
        <w:t xml:space="preserve">③</w:t>
      </w:r>
      <w:r>
        <w:rPr>
          <w:rFonts w:hint="eastAsia" w:ascii="宋体" w:hAnsi="宋体" w:eastAsia="宋体" w:cs="宋体"/>
          <w:color w:val="000000"/>
          <w:sz w:val="24"/>
          <w:szCs w:val="24"/>
          <w:highlight w:val="none"/>
        </w:rPr>
        <w:t xml:space="preserve">投</w:t>
      </w:r>
      <w:r>
        <w:rPr>
          <w:rFonts w:hint="eastAsia" w:ascii="宋体" w:hAnsi="宋体" w:eastAsia="宋体" w:cs="宋体"/>
          <w:color w:val="000000"/>
          <w:sz w:val="24"/>
          <w:szCs w:val="24"/>
          <w:highlight w:val="none"/>
        </w:rPr>
        <w:t xml:space="preserve">标人</w:t>
      </w:r>
      <w:r>
        <w:rPr>
          <w:rFonts w:hint="eastAsia" w:ascii="宋体" w:hAnsi="宋体" w:eastAsia="宋体" w:cs="宋体"/>
          <w:b/>
          <w:bCs/>
          <w:color w:val="000000"/>
          <w:sz w:val="24"/>
          <w:szCs w:val="24"/>
          <w:highlight w:val="none"/>
        </w:rPr>
        <w:t xml:space="preserve">至少配备</w:t>
      </w:r>
      <w:r>
        <w:rPr>
          <w:rFonts w:hint="eastAsia" w:ascii="宋体" w:hAnsi="宋体" w:eastAsia="宋体" w:cs="宋体"/>
          <w:b/>
          <w:bCs/>
          <w:color w:val="000000"/>
          <w:sz w:val="24"/>
          <w:szCs w:val="24"/>
          <w:highlight w:val="none"/>
          <w:lang w:val="en-US" w:eastAsia="zh-CN"/>
        </w:rPr>
        <w:t xml:space="preserve">1</w:t>
      </w:r>
      <w:r>
        <w:rPr>
          <w:rFonts w:hint="eastAsia" w:ascii="宋体" w:hAnsi="宋体" w:eastAsia="宋体" w:cs="宋体"/>
          <w:b/>
          <w:bCs/>
          <w:color w:val="000000"/>
          <w:sz w:val="24"/>
          <w:szCs w:val="24"/>
          <w:highlight w:val="none"/>
        </w:rPr>
        <w:t xml:space="preserve">名专职安全员</w:t>
      </w:r>
      <w:r>
        <w:rPr>
          <w:rFonts w:hint="eastAsia" w:ascii="宋体" w:hAnsi="宋体" w:eastAsia="宋体" w:cs="宋体"/>
          <w:color w:val="000000"/>
          <w:sz w:val="24"/>
          <w:szCs w:val="24"/>
          <w:highlight w:val="none"/>
        </w:rPr>
        <w:t xml:space="preserve">，专职安全员具有省级交通运输行政主管部门核发的《公路水运工程施工企业主要负责人和安全生产管理人员安全生产考核合格证书》（C类）或《公路水运工程施工单位主要负责人、项目负责人和专职安全生产管理人员安全生产考核合格证书》（C类）。</w:t>
      </w:r>
      <w:r>
        <w:rPr>
          <w:rFonts w:hint="eastAsia" w:ascii="宋体" w:hAnsi="宋体" w:eastAsia="宋体" w:cs="宋体"/>
          <w:color w:val="000000"/>
          <w:sz w:val="24"/>
          <w:szCs w:val="24"/>
          <w:highlight w:val="none"/>
        </w:rPr>
      </w:r>
      <w:r/>
    </w:p>
    <w:p>
      <w:pPr>
        <w:pStyle w:val="801"/>
        <w:ind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⑶其他要求：</w:t>
      </w:r>
      <w:r>
        <w:rPr>
          <w:rFonts w:hint="eastAsia" w:ascii="宋体" w:hAnsi="宋体" w:eastAsia="宋体" w:cs="宋体"/>
          <w:color w:val="000000"/>
          <w:sz w:val="24"/>
          <w:szCs w:val="24"/>
          <w:highlight w:val="none"/>
        </w:rPr>
      </w:r>
      <w:r/>
    </w:p>
    <w:p>
      <w:pPr>
        <w:pStyle w:val="801"/>
        <w:ind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①拟投入的项目经理无在岗项目（</w:t>
      </w:r>
      <w:r>
        <w:rPr>
          <w:rFonts w:hint="eastAsia" w:ascii="宋体" w:hAnsi="宋体" w:eastAsia="宋体" w:cs="宋体"/>
          <w:b/>
          <w:bCs/>
          <w:color w:val="000000"/>
          <w:sz w:val="24"/>
          <w:szCs w:val="24"/>
          <w:highlight w:val="none"/>
        </w:rPr>
        <w:t xml:space="preserve">指目前未在其他项目上任职，或虽在其他项目上任职但本项目中标后能够从该项目撤离，提供</w:t>
      </w:r>
      <w:r>
        <w:rPr>
          <w:rFonts w:hint="eastAsia" w:ascii="宋体" w:hAnsi="宋体" w:eastAsia="宋体" w:cs="宋体"/>
          <w:b/>
          <w:bCs/>
          <w:color w:val="000000"/>
          <w:sz w:val="24"/>
          <w:szCs w:val="24"/>
          <w:highlight w:val="none"/>
        </w:rPr>
        <w:t xml:space="preserve">相应承诺书，格式自拟</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01"/>
        <w:ind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②拟投入本项目的项目经理、</w:t>
      </w:r>
      <w:r>
        <w:rPr>
          <w:rFonts w:hint="eastAsia" w:ascii="宋体" w:hAnsi="宋体" w:eastAsia="宋体" w:cs="宋体"/>
          <w:color w:val="000000"/>
          <w:sz w:val="24"/>
          <w:szCs w:val="24"/>
          <w:highlight w:val="none"/>
          <w:lang w:val="en-US" w:eastAsia="zh-CN"/>
        </w:rPr>
        <w:t xml:space="preserve">项目总工（技术负责人）、</w:t>
      </w:r>
      <w:r>
        <w:rPr>
          <w:rFonts w:hint="eastAsia" w:ascii="宋体" w:hAnsi="宋体" w:eastAsia="宋体" w:cs="宋体"/>
          <w:color w:val="000000"/>
          <w:sz w:val="24"/>
          <w:szCs w:val="24"/>
          <w:highlight w:val="none"/>
        </w:rPr>
        <w:t xml:space="preserve">专职安全员需提供所属社保机构出具的投标当月至投标当月开始往前3个月中，任意1个月的社保缴费证明（</w:t>
      </w:r>
      <w:r>
        <w:rPr>
          <w:rFonts w:hint="eastAsia" w:ascii="宋体" w:hAnsi="宋体" w:eastAsia="宋体" w:cs="宋体"/>
          <w:b/>
          <w:bCs/>
          <w:color w:val="000000"/>
          <w:sz w:val="24"/>
          <w:szCs w:val="24"/>
          <w:highlight w:val="none"/>
        </w:rPr>
        <w:t xml:space="preserve">缴费证明内容需含缴费起止时间、缴费单位、缴费人员姓名并由社保机构加盖缴费证明专用章</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01"/>
        <w:ind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4.被“信用中国”网站（www.creditchina.gov.cn）</w:t>
      </w:r>
      <w:r>
        <w:rPr>
          <w:rFonts w:hint="eastAsia" w:ascii="宋体" w:hAnsi="宋体" w:eastAsia="宋体" w:cs="宋体"/>
          <w:b/>
          <w:bCs/>
          <w:color w:val="000000"/>
          <w:sz w:val="24"/>
          <w:szCs w:val="24"/>
          <w:highlight w:val="none"/>
        </w:rPr>
        <w:t xml:space="preserve">列入失信被执行人和重大税收违法案件当事人名单的供应商</w:t>
      </w:r>
      <w:r>
        <w:rPr>
          <w:rFonts w:hint="eastAsia" w:ascii="宋体" w:hAnsi="宋体" w:eastAsia="宋体" w:cs="宋体"/>
          <w:color w:val="000000"/>
          <w:sz w:val="24"/>
          <w:szCs w:val="24"/>
          <w:highlight w:val="none"/>
        </w:rPr>
        <w:t xml:space="preserve">、被中国政府采购网（www.ccgp.gov.cn）</w:t>
      </w:r>
      <w:r>
        <w:rPr>
          <w:rFonts w:hint="eastAsia" w:ascii="宋体" w:hAnsi="宋体" w:eastAsia="宋体" w:cs="宋体"/>
          <w:b/>
          <w:bCs/>
          <w:color w:val="000000"/>
          <w:sz w:val="24"/>
          <w:szCs w:val="24"/>
          <w:highlight w:val="none"/>
        </w:rPr>
        <w:t xml:space="preserve">列入政府采购严重违法失信行为记录名单中被财政部门禁止参加政府采购活动的供应商（处罚决定规定的时间和地域范围内），无资格参加本项目的采购活动。</w:t>
      </w:r>
      <w:r>
        <w:rPr>
          <w:rFonts w:hint="eastAsia" w:ascii="宋体" w:hAnsi="宋体" w:eastAsia="宋体" w:cs="宋体"/>
          <w:color w:val="000000"/>
          <w:sz w:val="24"/>
          <w:szCs w:val="24"/>
          <w:highlight w:val="none"/>
        </w:rPr>
      </w:r>
      <w:r/>
    </w:p>
    <w:p>
      <w:pPr>
        <w:pStyle w:val="801"/>
        <w:ind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单位负责人为同一人或者存在控股、管理关系的不同单位，不得参加同一合同项下的政府采购活动。除单一来源采购项目外，为本项目提供整体设计、规范编制或者项目管理、监理、检测等服务的投标人，不得再参加该采购项目的其他采购活动。</w:t>
      </w:r>
      <w:r>
        <w:rPr>
          <w:rFonts w:hint="eastAsia" w:ascii="宋体" w:hAnsi="宋体" w:eastAsia="宋体" w:cs="宋体"/>
          <w:color w:val="000000"/>
          <w:sz w:val="24"/>
          <w:szCs w:val="24"/>
          <w:highlight w:val="none"/>
        </w:rPr>
      </w:r>
      <w:r/>
    </w:p>
    <w:p>
      <w:pPr>
        <w:pStyle w:val="801"/>
        <w:jc w:val="both"/>
        <w:rPr>
          <w:rFonts w:hint="eastAsia" w:ascii="宋体" w:hAnsi="宋体" w:eastAsia="宋体" w:cs="宋体"/>
          <w:color w:val="000000"/>
          <w:sz w:val="24"/>
          <w:szCs w:val="24"/>
          <w:highlight w:val="none"/>
        </w:rPr>
      </w:pPr>
      <w:r/>
      <w:bookmarkStart w:id="31" w:name="_Toc31322"/>
      <w:r/>
      <w:bookmarkStart w:id="32" w:name="_Toc28537"/>
      <w:r/>
      <w:bookmarkStart w:id="33" w:name="_Toc35393792"/>
      <w:r/>
      <w:bookmarkStart w:id="34" w:name="_Toc26649"/>
      <w:r/>
      <w:bookmarkStart w:id="35" w:name="_Toc14252"/>
      <w:r/>
      <w:bookmarkStart w:id="36" w:name="_Toc35393623"/>
      <w:r/>
      <w:bookmarkStart w:id="37" w:name="_Toc9257"/>
      <w:r>
        <w:rPr>
          <w:rFonts w:hint="eastAsia" w:ascii="宋体" w:hAnsi="宋体" w:eastAsia="宋体" w:cs="宋体"/>
          <w:color w:val="000000"/>
          <w:sz w:val="24"/>
          <w:szCs w:val="24"/>
          <w:highlight w:val="none"/>
        </w:rPr>
      </w:r>
      <w:r/>
    </w:p>
    <w:p>
      <w:pPr>
        <w:pStyle w:val="803"/>
        <w:jc w:val="both"/>
        <w:keepLines w:val="0"/>
        <w:keepNext w:val="0"/>
        <w:spacing w:before="0" w:after="0" w:line="360" w:lineRule="auto"/>
        <w:rPr>
          <w:rFonts w:hint="eastAsia" w:ascii="宋体" w:hAnsi="宋体" w:eastAsia="宋体" w:cs="宋体"/>
          <w:color w:val="000000"/>
          <w:sz w:val="24"/>
          <w:szCs w:val="24"/>
          <w:highlight w:val="none"/>
        </w:rPr>
      </w:pPr>
      <w:r/>
      <w:bookmarkStart w:id="38" w:name="_Toc211090852"/>
      <w:r>
        <w:rPr>
          <w:rFonts w:hint="eastAsia" w:ascii="宋体" w:hAnsi="宋体" w:eastAsia="宋体" w:cs="宋体"/>
          <w:color w:val="000000"/>
          <w:sz w:val="24"/>
          <w:szCs w:val="24"/>
          <w:highlight w:val="none"/>
        </w:rPr>
        <w:t xml:space="preserve">三、获取招标文件</w:t>
      </w:r>
      <w:bookmarkEnd w:id="29"/>
      <w:r/>
      <w:bookmarkEnd w:id="30"/>
      <w:r/>
      <w:bookmarkEnd w:id="31"/>
      <w:r/>
      <w:bookmarkEnd w:id="32"/>
      <w:r/>
      <w:bookmarkEnd w:id="33"/>
      <w:r/>
      <w:bookmarkEnd w:id="34"/>
      <w:r/>
      <w:bookmarkEnd w:id="35"/>
      <w:r/>
      <w:bookmarkEnd w:id="36"/>
      <w:r/>
      <w:bookmarkEnd w:id="37"/>
      <w:r/>
      <w:bookmarkEnd w:id="38"/>
      <w:r>
        <w:rPr>
          <w:rFonts w:hint="eastAsia" w:ascii="宋体" w:hAnsi="宋体" w:eastAsia="宋体" w:cs="宋体"/>
          <w:color w:val="000000"/>
          <w:sz w:val="24"/>
          <w:szCs w:val="24"/>
          <w:highlight w:val="none"/>
        </w:rPr>
      </w:r>
      <w:r/>
    </w:p>
    <w:p>
      <w:pPr>
        <w:pStyle w:val="801"/>
        <w:ind w:firstLine="54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时间：自2026年</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lang w:val="en-US" w:eastAsia="zh-CN"/>
        </w:rPr>
        <w:t xml:space="preserve">12</w:t>
      </w:r>
      <w:r>
        <w:rPr>
          <w:rFonts w:hint="eastAsia" w:ascii="宋体" w:hAnsi="宋体" w:eastAsia="宋体" w:cs="宋体"/>
          <w:color w:val="000000"/>
          <w:sz w:val="24"/>
          <w:szCs w:val="24"/>
          <w:highlight w:val="none"/>
        </w:rPr>
        <w:t xml:space="preserve">日9:00起至2026年</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lang w:val="en-US" w:eastAsia="zh-CN"/>
        </w:rPr>
        <w:t xml:space="preserve">19</w:t>
      </w:r>
      <w:r>
        <w:rPr>
          <w:rFonts w:hint="eastAsia" w:ascii="宋体" w:hAnsi="宋体" w:eastAsia="宋体" w:cs="宋体"/>
          <w:color w:val="000000"/>
          <w:sz w:val="24"/>
          <w:szCs w:val="24"/>
          <w:highlight w:val="none"/>
        </w:rPr>
        <w:t xml:space="preserve">日17:00（北京时间，法定节假日除外）。</w:t>
      </w:r>
      <w:r>
        <w:rPr>
          <w:rFonts w:hint="eastAsia" w:ascii="宋体" w:hAnsi="宋体" w:eastAsia="宋体" w:cs="宋体"/>
          <w:color w:val="000000"/>
          <w:sz w:val="24"/>
          <w:szCs w:val="24"/>
          <w:highlight w:val="none"/>
        </w:rPr>
      </w:r>
      <w:r/>
    </w:p>
    <w:p>
      <w:pPr>
        <w:pStyle w:val="801"/>
        <w:ind w:firstLine="54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地点：“苏采云”政府采购一体化平台。</w:t>
      </w:r>
      <w:r>
        <w:rPr>
          <w:rFonts w:hint="eastAsia" w:ascii="宋体" w:hAnsi="宋体" w:eastAsia="宋体" w:cs="宋体"/>
          <w:color w:val="000000"/>
          <w:sz w:val="24"/>
          <w:szCs w:val="24"/>
          <w:highlight w:val="none"/>
        </w:rPr>
      </w:r>
      <w:r/>
    </w:p>
    <w:p>
      <w:pPr>
        <w:pStyle w:val="801"/>
        <w:ind w:firstLine="54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获取方式：线上获取。</w:t>
      </w:r>
      <w:r>
        <w:rPr>
          <w:rFonts w:hint="eastAsia" w:ascii="宋体" w:hAnsi="宋体" w:eastAsia="宋体" w:cs="宋体"/>
          <w:color w:val="000000"/>
          <w:sz w:val="24"/>
          <w:szCs w:val="24"/>
          <w:highlight w:val="none"/>
        </w:rPr>
      </w:r>
      <w:r/>
    </w:p>
    <w:p>
      <w:pPr>
        <w:pStyle w:val="801"/>
        <w:ind w:firstLine="54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售价：0.00元。</w:t>
      </w:r>
      <w:bookmarkStart w:id="39" w:name="_Toc28359005"/>
      <w:r/>
      <w:bookmarkStart w:id="40" w:name="_Toc17252"/>
      <w:r/>
      <w:bookmarkStart w:id="41" w:name="_Toc1995"/>
      <w:r/>
      <w:bookmarkStart w:id="42" w:name="_Toc35393793"/>
      <w:r/>
      <w:bookmarkStart w:id="43" w:name="_Toc28359082"/>
      <w:r/>
      <w:bookmarkStart w:id="44" w:name="_Toc35393624"/>
      <w:r/>
      <w:bookmarkStart w:id="45" w:name="_Toc1984"/>
      <w:r/>
      <w:bookmarkStart w:id="46" w:name="_Toc25544"/>
      <w:r/>
      <w:bookmarkStart w:id="47" w:name="_Toc9463"/>
      <w:r>
        <w:rPr>
          <w:rFonts w:hint="eastAsia" w:ascii="宋体" w:hAnsi="宋体" w:eastAsia="宋体" w:cs="宋体"/>
          <w:color w:val="000000"/>
          <w:sz w:val="24"/>
          <w:szCs w:val="24"/>
          <w:highlight w:val="none"/>
        </w:rPr>
      </w:r>
      <w:r/>
    </w:p>
    <w:p>
      <w:pPr>
        <w:pStyle w:val="803"/>
        <w:jc w:val="both"/>
        <w:keepLines w:val="0"/>
        <w:keepNext w:val="0"/>
        <w:spacing w:before="0" w:after="0" w:line="360" w:lineRule="auto"/>
        <w:rPr>
          <w:rFonts w:hint="eastAsia" w:ascii="宋体" w:hAnsi="宋体" w:eastAsia="宋体" w:cs="宋体"/>
          <w:color w:val="000000"/>
          <w:sz w:val="24"/>
          <w:szCs w:val="24"/>
          <w:highlight w:val="none"/>
        </w:rPr>
      </w:pPr>
      <w:r/>
      <w:bookmarkStart w:id="48" w:name="_Toc211090853"/>
      <w:r>
        <w:rPr>
          <w:rFonts w:hint="eastAsia" w:ascii="宋体" w:hAnsi="宋体" w:eastAsia="宋体" w:cs="宋体"/>
          <w:color w:val="000000"/>
          <w:sz w:val="24"/>
          <w:szCs w:val="24"/>
          <w:highlight w:val="none"/>
        </w:rPr>
        <w:t xml:space="preserve">四、</w:t>
      </w:r>
      <w:bookmarkEnd w:id="39"/>
      <w:r/>
      <w:bookmarkEnd w:id="40"/>
      <w:r/>
      <w:bookmarkEnd w:id="41"/>
      <w:r/>
      <w:bookmarkEnd w:id="42"/>
      <w:r/>
      <w:bookmarkEnd w:id="43"/>
      <w:r/>
      <w:bookmarkEnd w:id="44"/>
      <w:r/>
      <w:bookmarkEnd w:id="45"/>
      <w:r/>
      <w:bookmarkEnd w:id="46"/>
      <w:r/>
      <w:bookmarkEnd w:id="47"/>
      <w:r/>
      <w:bookmarkEnd w:id="48"/>
      <w:r>
        <w:rPr>
          <w:rFonts w:hint="eastAsia" w:ascii="宋体" w:hAnsi="宋体" w:eastAsia="宋体" w:cs="宋体"/>
          <w:color w:val="000000"/>
          <w:sz w:val="24"/>
          <w:szCs w:val="24"/>
          <w:highlight w:val="none"/>
        </w:rPr>
        <w:t xml:space="preserve">提交投标文件截止时间、开标时间和地点</w:t>
      </w:r>
      <w:r>
        <w:rPr>
          <w:rFonts w:hint="eastAsia" w:ascii="宋体" w:hAnsi="宋体" w:eastAsia="宋体" w:cs="宋体"/>
          <w:color w:val="000000"/>
          <w:sz w:val="24"/>
          <w:szCs w:val="24"/>
          <w:highlight w:val="none"/>
        </w:rPr>
      </w:r>
      <w:r/>
    </w:p>
    <w:p>
      <w:pPr>
        <w:pStyle w:val="801"/>
        <w:ind w:firstLine="480"/>
        <w:jc w:val="both"/>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截止时间：2026年</w:t>
      </w:r>
      <w:r>
        <w:rPr>
          <w:rFonts w:hint="eastAsia" w:ascii="宋体" w:hAnsi="宋体" w:eastAsia="宋体" w:cs="宋体"/>
          <w:bCs/>
          <w:color w:val="000000"/>
          <w:sz w:val="24"/>
          <w:szCs w:val="24"/>
          <w:highlight w:val="none"/>
          <w:lang w:val="en-US" w:eastAsia="zh-CN"/>
        </w:rPr>
        <w:t xml:space="preserve">7</w:t>
      </w:r>
      <w:r>
        <w:rPr>
          <w:rFonts w:hint="eastAsia" w:ascii="宋体" w:hAnsi="宋体" w:eastAsia="宋体" w:cs="宋体"/>
          <w:bCs/>
          <w:color w:val="000000"/>
          <w:sz w:val="24"/>
          <w:szCs w:val="24"/>
          <w:highlight w:val="none"/>
        </w:rPr>
        <w:t xml:space="preserve">月</w:t>
      </w:r>
      <w:r>
        <w:rPr>
          <w:rFonts w:hint="eastAsia" w:ascii="宋体" w:hAnsi="宋体" w:eastAsia="宋体" w:cs="宋体"/>
          <w:bCs/>
          <w:color w:val="000000"/>
          <w:sz w:val="24"/>
          <w:szCs w:val="24"/>
          <w:highlight w:val="none"/>
          <w:lang w:val="en-US" w:eastAsia="zh-CN"/>
        </w:rPr>
        <w:t xml:space="preserve">7</w:t>
      </w:r>
      <w:r>
        <w:rPr>
          <w:rFonts w:hint="eastAsia" w:ascii="宋体" w:hAnsi="宋体" w:eastAsia="宋体" w:cs="宋体"/>
          <w:bCs/>
          <w:color w:val="000000"/>
          <w:sz w:val="24"/>
          <w:szCs w:val="24"/>
          <w:highlight w:val="none"/>
        </w:rPr>
        <w:t xml:space="preserve">日14时00分（北京时间）</w:t>
      </w:r>
      <w:r>
        <w:rPr>
          <w:rFonts w:hint="eastAsia" w:ascii="宋体" w:hAnsi="宋体" w:eastAsia="宋体" w:cs="宋体"/>
          <w:bCs/>
          <w:color w:val="000000"/>
          <w:sz w:val="24"/>
          <w:szCs w:val="24"/>
          <w:highlight w:val="none"/>
        </w:rPr>
      </w:r>
      <w:r/>
    </w:p>
    <w:p>
      <w:pPr>
        <w:pStyle w:val="801"/>
        <w:ind w:firstLine="480"/>
        <w:jc w:val="both"/>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地点：“苏采云”系统（网址：http://jszfcg.jsczt.cn/）开标大厅，点击“苏采云”进入系统“开标大厅”。</w:t>
      </w:r>
      <w:bookmarkStart w:id="49" w:name="_Toc35393625"/>
      <w:r/>
      <w:bookmarkStart w:id="50" w:name="_Toc35393794"/>
      <w:r/>
      <w:bookmarkStart w:id="51" w:name="_Toc6212"/>
      <w:r/>
      <w:bookmarkStart w:id="52" w:name="_Toc13443"/>
      <w:r/>
      <w:bookmarkStart w:id="53" w:name="_Toc28359007"/>
      <w:r/>
      <w:bookmarkStart w:id="54" w:name="_Toc730"/>
      <w:r/>
      <w:bookmarkStart w:id="55" w:name="_Toc17787"/>
      <w:r/>
      <w:bookmarkStart w:id="56" w:name="_Toc28671"/>
      <w:r/>
      <w:bookmarkStart w:id="57" w:name="_Toc28359084"/>
      <w:r>
        <w:rPr>
          <w:rFonts w:hint="eastAsia" w:ascii="宋体" w:hAnsi="宋体" w:eastAsia="宋体" w:cs="宋体"/>
          <w:color w:val="000000"/>
          <w:sz w:val="24"/>
          <w:szCs w:val="24"/>
          <w:highlight w:val="none"/>
        </w:rPr>
      </w:r>
      <w:r/>
    </w:p>
    <w:p>
      <w:pPr>
        <w:pStyle w:val="803"/>
        <w:jc w:val="both"/>
        <w:keepLines w:val="0"/>
        <w:keepNext w:val="0"/>
        <w:spacing w:before="0" w:after="0" w:line="360" w:lineRule="auto"/>
        <w:rPr>
          <w:rFonts w:hint="eastAsia" w:ascii="宋体" w:hAnsi="宋体" w:eastAsia="宋体" w:cs="宋体"/>
          <w:color w:val="000000"/>
          <w:sz w:val="24"/>
          <w:szCs w:val="24"/>
          <w:highlight w:val="none"/>
        </w:rPr>
      </w:pPr>
      <w:r/>
      <w:bookmarkStart w:id="58" w:name="_Toc211090854"/>
      <w:r>
        <w:rPr>
          <w:rFonts w:hint="eastAsia" w:ascii="宋体" w:hAnsi="宋体" w:eastAsia="宋体" w:cs="宋体"/>
          <w:color w:val="000000"/>
          <w:sz w:val="24"/>
          <w:szCs w:val="24"/>
          <w:highlight w:val="none"/>
        </w:rPr>
        <w:t xml:space="preserve">五、公告期限</w:t>
      </w:r>
      <w:bookmarkEnd w:id="49"/>
      <w:r/>
      <w:bookmarkEnd w:id="50"/>
      <w:r/>
      <w:bookmarkEnd w:id="51"/>
      <w:r/>
      <w:bookmarkEnd w:id="52"/>
      <w:r/>
      <w:bookmarkEnd w:id="53"/>
      <w:r/>
      <w:bookmarkEnd w:id="54"/>
      <w:r/>
      <w:bookmarkEnd w:id="55"/>
      <w:r/>
      <w:bookmarkEnd w:id="56"/>
      <w:r/>
      <w:bookmarkEnd w:id="57"/>
      <w:r/>
      <w:bookmarkEnd w:id="58"/>
      <w:r>
        <w:rPr>
          <w:rFonts w:hint="eastAsia" w:ascii="宋体" w:hAnsi="宋体" w:eastAsia="宋体" w:cs="宋体"/>
          <w:color w:val="000000"/>
          <w:sz w:val="24"/>
          <w:szCs w:val="24"/>
          <w:highlight w:val="none"/>
        </w:rPr>
      </w:r>
      <w:r/>
    </w:p>
    <w:p>
      <w:pPr>
        <w:pStyle w:val="801"/>
        <w:ind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自本公告发布之日起5个工作日。</w:t>
      </w:r>
      <w:bookmarkStart w:id="59" w:name="_Toc26922"/>
      <w:r/>
      <w:bookmarkStart w:id="60" w:name="_Toc4792"/>
      <w:r/>
      <w:bookmarkStart w:id="61" w:name="_Toc28954"/>
      <w:r/>
      <w:bookmarkStart w:id="62" w:name="_Toc35393795"/>
      <w:r/>
      <w:bookmarkStart w:id="63" w:name="_Toc8221"/>
      <w:r/>
      <w:bookmarkStart w:id="64" w:name="_Toc1482"/>
      <w:r/>
      <w:bookmarkStart w:id="65" w:name="_Toc35393626"/>
      <w:r>
        <w:rPr>
          <w:rFonts w:hint="eastAsia" w:ascii="宋体" w:hAnsi="宋体" w:eastAsia="宋体" w:cs="宋体"/>
          <w:color w:val="000000"/>
          <w:sz w:val="24"/>
          <w:szCs w:val="24"/>
          <w:highlight w:val="none"/>
        </w:rPr>
      </w:r>
      <w:r/>
    </w:p>
    <w:p>
      <w:pPr>
        <w:pStyle w:val="803"/>
        <w:jc w:val="both"/>
        <w:keepLines w:val="0"/>
        <w:keepNext w:val="0"/>
        <w:spacing w:before="0" w:after="0" w:line="360" w:lineRule="auto"/>
        <w:rPr>
          <w:rFonts w:hint="eastAsia" w:ascii="宋体" w:hAnsi="宋体" w:eastAsia="宋体" w:cs="宋体"/>
          <w:color w:val="000000"/>
          <w:sz w:val="24"/>
          <w:szCs w:val="24"/>
          <w:highlight w:val="none"/>
        </w:rPr>
      </w:pPr>
      <w:r/>
      <w:bookmarkStart w:id="66" w:name="_Toc211090855"/>
      <w:r>
        <w:rPr>
          <w:rFonts w:hint="eastAsia" w:ascii="宋体" w:hAnsi="宋体" w:eastAsia="宋体" w:cs="宋体"/>
          <w:color w:val="000000"/>
          <w:sz w:val="24"/>
          <w:szCs w:val="24"/>
          <w:highlight w:val="none"/>
        </w:rPr>
        <w:t xml:space="preserve">六、其他补充事宜</w:t>
      </w:r>
      <w:bookmarkEnd w:id="59"/>
      <w:r/>
      <w:bookmarkEnd w:id="60"/>
      <w:r/>
      <w:bookmarkEnd w:id="61"/>
      <w:r/>
      <w:bookmarkEnd w:id="62"/>
      <w:r/>
      <w:bookmarkEnd w:id="63"/>
      <w:r/>
      <w:bookmarkEnd w:id="64"/>
      <w:r/>
      <w:bookmarkEnd w:id="65"/>
      <w:r/>
      <w:bookmarkEnd w:id="66"/>
      <w:r>
        <w:rPr>
          <w:rFonts w:hint="eastAsia" w:ascii="宋体" w:hAnsi="宋体" w:eastAsia="宋体" w:cs="宋体"/>
          <w:color w:val="000000"/>
          <w:sz w:val="24"/>
          <w:szCs w:val="24"/>
          <w:highlight w:val="none"/>
        </w:rPr>
      </w:r>
      <w:r/>
    </w:p>
    <w:p>
      <w:pPr>
        <w:pStyle w:val="851"/>
        <w:ind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1、本招标公告在</w:t>
      </w:r>
      <w:r>
        <w:rPr>
          <w:rFonts w:hint="eastAsia" w:ascii="宋体" w:hAnsi="宋体" w:eastAsia="宋体" w:cs="宋体"/>
          <w:b/>
          <w:bCs/>
          <w:color w:val="000000"/>
          <w:sz w:val="24"/>
          <w:szCs w:val="24"/>
          <w:highlight w:val="none"/>
        </w:rPr>
        <w:t xml:space="preserve">江苏政府采购网（http://www.ccgp-jiangsu.gov.cn/）公示发布</w:t>
      </w:r>
      <w:r>
        <w:rPr>
          <w:rFonts w:hint="eastAsia" w:ascii="宋体" w:hAnsi="宋体" w:eastAsia="宋体" w:cs="宋体"/>
          <w:color w:val="000000"/>
          <w:sz w:val="24"/>
          <w:szCs w:val="24"/>
          <w:highlight w:val="none"/>
        </w:rPr>
        <w:t xml:space="preserve">，若有关本次招标存在变动或修改，敬请各投标人及时关注江苏政府采购网发布的关于本项目的信息更正公告。</w:t>
      </w:r>
      <w:r>
        <w:rPr>
          <w:rFonts w:hint="eastAsia" w:ascii="宋体" w:hAnsi="宋体" w:eastAsia="宋体" w:cs="宋体"/>
          <w:color w:val="000000"/>
          <w:sz w:val="24"/>
          <w:szCs w:val="24"/>
          <w:highlight w:val="none"/>
        </w:rPr>
      </w:r>
      <w:r/>
    </w:p>
    <w:p>
      <w:pPr>
        <w:pStyle w:val="801"/>
        <w:ind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现场踏勘或答疑：招标人不组织集中现场考察或答疑，投标人可自行前往项目现场进行考察。未考察现场或考察工作不详细的投标人中标后，不得以不完全了解现场情况为理由而向招标人提出任何索赔或其他要求，对此招标人不承担任何责任并将不做任何答复。</w:t>
      </w:r>
      <w:r>
        <w:rPr>
          <w:rFonts w:hint="eastAsia" w:ascii="宋体" w:hAnsi="宋体" w:eastAsia="宋体" w:cs="宋体"/>
          <w:color w:val="000000"/>
          <w:sz w:val="24"/>
          <w:szCs w:val="24"/>
          <w:highlight w:val="none"/>
        </w:rPr>
      </w:r>
      <w:r/>
    </w:p>
    <w:p>
      <w:pPr>
        <w:pStyle w:val="851"/>
        <w:ind w:firstLine="480"/>
        <w:jc w:val="both"/>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 xml:space="preserve">3、投标保证金：本次招标不收取投标保证金。</w:t>
      </w:r>
      <w:r>
        <w:rPr>
          <w:rFonts w:hint="eastAsia" w:ascii="宋体" w:hAnsi="宋体" w:eastAsia="宋体" w:cs="宋体"/>
          <w:b/>
          <w:bCs/>
          <w:color w:val="000000"/>
          <w:sz w:val="24"/>
          <w:szCs w:val="24"/>
          <w:highlight w:val="none"/>
        </w:rPr>
      </w:r>
      <w:r/>
    </w:p>
    <w:p>
      <w:pPr>
        <w:pStyle w:val="851"/>
        <w:ind w:firstLine="482"/>
        <w:jc w:val="both"/>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4、注意事项：</w:t>
      </w:r>
      <w:r>
        <w:rPr>
          <w:rFonts w:hint="eastAsia" w:ascii="宋体" w:hAnsi="宋体" w:eastAsia="宋体" w:cs="宋体"/>
          <w:b/>
          <w:bCs/>
          <w:color w:val="000000"/>
          <w:sz w:val="24"/>
          <w:szCs w:val="24"/>
          <w:highlight w:val="none"/>
        </w:rPr>
      </w:r>
      <w:r/>
    </w:p>
    <w:p>
      <w:pPr>
        <w:pStyle w:val="851"/>
        <w:ind w:firstLine="482"/>
        <w:jc w:val="both"/>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4.1潜在投标人访问“苏采云”系统的网络地址和方法：“苏采云”系统的网址：http://jszfcg.jsczt.cn/。</w:t>
      </w:r>
      <w:r>
        <w:rPr>
          <w:rFonts w:hint="eastAsia" w:ascii="宋体" w:hAnsi="宋体" w:eastAsia="宋体" w:cs="宋体"/>
          <w:b/>
          <w:bCs/>
          <w:color w:val="000000"/>
          <w:sz w:val="24"/>
          <w:szCs w:val="24"/>
          <w:highlight w:val="none"/>
        </w:rPr>
      </w:r>
      <w:r/>
    </w:p>
    <w:p>
      <w:pPr>
        <w:pStyle w:val="851"/>
        <w:ind w:firstLine="482"/>
        <w:jc w:val="both"/>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4.2“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rPr>
          <w:rFonts w:hint="eastAsia" w:ascii="宋体" w:hAnsi="宋体" w:eastAsia="宋体" w:cs="宋体"/>
          <w:b/>
          <w:bCs/>
          <w:color w:val="000000"/>
          <w:sz w:val="24"/>
          <w:szCs w:val="24"/>
          <w:highlight w:val="none"/>
        </w:rPr>
      </w:r>
      <w:r/>
    </w:p>
    <w:p>
      <w:pPr>
        <w:pStyle w:val="851"/>
        <w:ind w:firstLine="482"/>
        <w:jc w:val="both"/>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4.3“CA数字证书”的获取：</w:t>
      </w:r>
      <w:r>
        <w:rPr>
          <w:rFonts w:hint="eastAsia" w:ascii="宋体" w:hAnsi="宋体" w:eastAsia="宋体" w:cs="宋体"/>
          <w:b/>
          <w:bCs/>
          <w:color w:val="000000"/>
          <w:sz w:val="24"/>
          <w:szCs w:val="24"/>
          <w:highlight w:val="none"/>
        </w:rPr>
      </w:r>
      <w:r/>
    </w:p>
    <w:p>
      <w:pPr>
        <w:pStyle w:val="851"/>
        <w:ind w:firstLine="482"/>
        <w:jc w:val="both"/>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潜在投标人需办理“CA 数字证书”，CA办理指南及“苏采云”操作手册可至江苏省政府采购网―办事指南-资料下载中心下载，点击进入“江苏省政府采购管理交易系统（苏采云）供应商操作指南”，进行下载。（http://www.ccgp-jiangsu.gov.cn/jiangsu/zlxz/ee/ee3a4bc5a3454aa2b0d9312230633ce9.html）</w:t>
      </w:r>
      <w:r>
        <w:rPr>
          <w:rFonts w:hint="eastAsia" w:ascii="宋体" w:hAnsi="宋体" w:eastAsia="宋体" w:cs="宋体"/>
          <w:b/>
          <w:bCs/>
          <w:color w:val="000000"/>
          <w:sz w:val="24"/>
          <w:szCs w:val="24"/>
          <w:highlight w:val="none"/>
        </w:rPr>
      </w:r>
      <w:r/>
    </w:p>
    <w:p>
      <w:pPr>
        <w:pStyle w:val="851"/>
        <w:ind w:firstLine="482"/>
        <w:jc w:val="both"/>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4.4采购文件（后缀名为“.kedt”）、供应商操作手册及政府采购客户端工具可通过“苏采云”系统--已报名项目--报名详情页面内相应链接进行下载。</w:t>
      </w:r>
      <w:r>
        <w:rPr>
          <w:rFonts w:hint="eastAsia" w:ascii="宋体" w:hAnsi="宋体" w:eastAsia="宋体" w:cs="宋体"/>
          <w:b/>
          <w:bCs/>
          <w:color w:val="000000"/>
          <w:sz w:val="24"/>
          <w:szCs w:val="24"/>
          <w:highlight w:val="none"/>
        </w:rPr>
      </w:r>
      <w:r/>
    </w:p>
    <w:p>
      <w:pPr>
        <w:pStyle w:val="851"/>
        <w:ind w:firstLine="482"/>
        <w:jc w:val="both"/>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4.5招标人或招标代理机构将数据电文形式的采购文件加载至“苏采云”系统，供潜在投标人下载或者查阅。</w:t>
      </w:r>
      <w:r>
        <w:rPr>
          <w:rFonts w:hint="eastAsia" w:ascii="宋体" w:hAnsi="宋体" w:eastAsia="宋体" w:cs="宋体"/>
          <w:b/>
          <w:bCs/>
          <w:color w:val="000000"/>
          <w:sz w:val="24"/>
          <w:szCs w:val="24"/>
          <w:highlight w:val="none"/>
        </w:rPr>
      </w:r>
      <w:r/>
    </w:p>
    <w:p>
      <w:pPr>
        <w:pStyle w:val="851"/>
        <w:ind w:firstLine="482"/>
        <w:jc w:val="both"/>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4.6请潜在投标人提前安装相应的控件（详见《江苏省政府采购管理交易系统（苏采云）供应商操作手册》）并使用谷歌浏览器登录“苏采云”系统参与不见面开评标。（操作系统至少win7以上，建议使用win10操作系统。）</w:t>
      </w:r>
      <w:r>
        <w:rPr>
          <w:rFonts w:hint="eastAsia" w:ascii="宋体" w:hAnsi="宋体" w:eastAsia="宋体" w:cs="宋体"/>
          <w:b/>
          <w:bCs/>
          <w:color w:val="000000"/>
          <w:sz w:val="24"/>
          <w:szCs w:val="24"/>
          <w:highlight w:val="none"/>
        </w:rPr>
      </w:r>
      <w:r/>
    </w:p>
    <w:p>
      <w:pPr>
        <w:pStyle w:val="851"/>
        <w:ind w:firstLine="482"/>
        <w:jc w:val="both"/>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注：如潜在投标人未按上述要求操作，将自行承担所产生的风险。</w:t>
      </w:r>
      <w:bookmarkStart w:id="67" w:name="_Toc13925"/>
      <w:r/>
      <w:bookmarkStart w:id="68" w:name="_Toc28359085"/>
      <w:r/>
      <w:bookmarkStart w:id="69" w:name="_Toc35393796"/>
      <w:r/>
      <w:bookmarkStart w:id="70" w:name="_Toc24169"/>
      <w:r/>
      <w:bookmarkStart w:id="71" w:name="_Toc35393627"/>
      <w:r/>
      <w:bookmarkStart w:id="72" w:name="_Toc8769"/>
      <w:r/>
      <w:bookmarkStart w:id="73" w:name="_Toc28359008"/>
      <w:r/>
      <w:bookmarkStart w:id="74" w:name="_Toc23188"/>
      <w:r/>
      <w:bookmarkStart w:id="75" w:name="_Toc3755"/>
      <w:r>
        <w:rPr>
          <w:rFonts w:hint="eastAsia" w:ascii="宋体" w:hAnsi="宋体" w:eastAsia="宋体" w:cs="宋体"/>
          <w:color w:val="000000"/>
          <w:sz w:val="24"/>
          <w:szCs w:val="24"/>
          <w:highlight w:val="none"/>
        </w:rPr>
      </w:r>
      <w:r/>
    </w:p>
    <w:p>
      <w:pPr>
        <w:pStyle w:val="803"/>
        <w:jc w:val="both"/>
        <w:keepLines w:val="0"/>
        <w:keepNext w:val="0"/>
        <w:spacing w:before="0" w:after="0" w:line="360" w:lineRule="auto"/>
        <w:rPr>
          <w:rFonts w:hint="eastAsia" w:ascii="宋体" w:hAnsi="宋体" w:eastAsia="宋体" w:cs="宋体"/>
          <w:color w:val="000000"/>
          <w:sz w:val="24"/>
          <w:szCs w:val="24"/>
          <w:highlight w:val="none"/>
        </w:rPr>
      </w:pPr>
      <w:r/>
      <w:bookmarkStart w:id="76" w:name="_Toc211090856"/>
      <w:r>
        <w:rPr>
          <w:rFonts w:hint="eastAsia" w:ascii="宋体" w:hAnsi="宋体" w:eastAsia="宋体" w:cs="宋体"/>
          <w:color w:val="000000"/>
          <w:sz w:val="24"/>
          <w:szCs w:val="24"/>
          <w:highlight w:val="none"/>
        </w:rPr>
        <w:t xml:space="preserve">七、对本次招标提出询问，请按以下方式联系。</w:t>
      </w:r>
      <w:bookmarkEnd w:id="67"/>
      <w:r/>
      <w:bookmarkEnd w:id="68"/>
      <w:r/>
      <w:bookmarkEnd w:id="69"/>
      <w:r/>
      <w:bookmarkEnd w:id="70"/>
      <w:r/>
      <w:bookmarkEnd w:id="71"/>
      <w:r/>
      <w:bookmarkEnd w:id="72"/>
      <w:r/>
      <w:bookmarkEnd w:id="73"/>
      <w:r/>
      <w:bookmarkEnd w:id="74"/>
      <w:r/>
      <w:bookmarkEnd w:id="75"/>
      <w:r/>
      <w:bookmarkEnd w:id="76"/>
      <w:r>
        <w:rPr>
          <w:rFonts w:hint="eastAsia" w:ascii="宋体" w:hAnsi="宋体" w:eastAsia="宋体" w:cs="宋体"/>
          <w:color w:val="000000"/>
          <w:sz w:val="24"/>
          <w:szCs w:val="24"/>
          <w:highlight w:val="none"/>
        </w:rPr>
      </w:r>
      <w:r/>
    </w:p>
    <w:p>
      <w:pPr>
        <w:pStyle w:val="801"/>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1.招标人信息</w:t>
      </w:r>
      <w:r>
        <w:rPr>
          <w:rFonts w:hint="eastAsia" w:ascii="宋体" w:hAnsi="宋体" w:eastAsia="宋体" w:cs="宋体"/>
          <w:color w:val="000000"/>
          <w:sz w:val="24"/>
          <w:szCs w:val="24"/>
          <w:highlight w:val="none"/>
        </w:rPr>
      </w:r>
      <w:r/>
    </w:p>
    <w:p>
      <w:pPr>
        <w:pStyle w:val="801"/>
        <w:ind w:firstLine="72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名    称：</w:t>
      </w:r>
      <w:r>
        <w:rPr>
          <w:rFonts w:hint="eastAsia" w:ascii="宋体" w:hAnsi="宋体" w:eastAsia="宋体" w:cs="宋体"/>
          <w:color w:val="000000"/>
          <w:sz w:val="24"/>
          <w:szCs w:val="24"/>
          <w:highlight w:val="none"/>
          <w:u w:val="single"/>
          <w:lang w:val="en-US" w:eastAsia="zh-CN"/>
        </w:rPr>
        <w:t xml:space="preserve">京杭运河江苏省交通运输厅</w:t>
      </w:r>
      <w:r>
        <w:rPr>
          <w:rFonts w:hint="eastAsia" w:ascii="宋体" w:hAnsi="宋体" w:eastAsia="宋体" w:cs="宋体"/>
          <w:color w:val="000000"/>
          <w:sz w:val="24"/>
          <w:szCs w:val="24"/>
          <w:highlight w:val="none"/>
          <w:u w:val="single"/>
          <w:lang w:val="en-US" w:eastAsia="zh-CN"/>
        </w:rPr>
        <w:t xml:space="preserve">苏北航务管理处</w:t>
      </w:r>
      <w:r>
        <w:rPr>
          <w:rFonts w:hint="eastAsia" w:ascii="宋体" w:hAnsi="宋体" w:eastAsia="宋体" w:cs="宋体"/>
          <w:color w:val="000000"/>
          <w:sz w:val="24"/>
          <w:szCs w:val="24"/>
          <w:highlight w:val="none"/>
        </w:rPr>
      </w:r>
      <w:r/>
    </w:p>
    <w:p>
      <w:pPr>
        <w:pStyle w:val="801"/>
        <w:ind w:firstLine="720"/>
        <w:jc w:val="both"/>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地    址：</w:t>
      </w:r>
      <w:r>
        <w:rPr>
          <w:rFonts w:hint="eastAsia" w:ascii="宋体" w:hAnsi="宋体" w:eastAsia="宋体" w:cs="宋体"/>
          <w:color w:val="000000"/>
          <w:sz w:val="24"/>
          <w:szCs w:val="24"/>
          <w:highlight w:val="none"/>
          <w:u w:val="single"/>
        </w:rPr>
        <w:t xml:space="preserve">江苏省</w:t>
      </w:r>
      <w:r>
        <w:rPr>
          <w:rFonts w:hint="eastAsia" w:ascii="宋体" w:hAnsi="宋体" w:eastAsia="宋体" w:cs="宋体"/>
          <w:color w:val="000000"/>
          <w:sz w:val="24"/>
          <w:szCs w:val="24"/>
          <w:highlight w:val="none"/>
          <w:u w:val="single"/>
          <w:lang w:val="en-US" w:eastAsia="zh-CN"/>
        </w:rPr>
        <w:t xml:space="preserve">淮安市延安东路68</w:t>
      </w:r>
      <w:r>
        <w:rPr>
          <w:rFonts w:hint="eastAsia" w:ascii="宋体" w:hAnsi="宋体" w:eastAsia="宋体" w:cs="宋体"/>
          <w:color w:val="000000"/>
          <w:sz w:val="24"/>
          <w:szCs w:val="24"/>
          <w:highlight w:val="none"/>
          <w:u w:val="single"/>
        </w:rPr>
        <w:t xml:space="preserve">号</w:t>
      </w:r>
      <w:r>
        <w:rPr>
          <w:rFonts w:hint="eastAsia" w:ascii="宋体" w:hAnsi="宋体" w:eastAsia="宋体" w:cs="宋体"/>
          <w:color w:val="000000"/>
          <w:sz w:val="24"/>
          <w:szCs w:val="24"/>
          <w:highlight w:val="none"/>
          <w:u w:val="single"/>
        </w:rPr>
      </w:r>
      <w:r/>
    </w:p>
    <w:p>
      <w:pPr>
        <w:pStyle w:val="801"/>
        <w:ind w:firstLine="720"/>
        <w:jc w:val="both"/>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联 系 人：</w:t>
      </w:r>
      <w:r>
        <w:rPr>
          <w:rFonts w:hint="eastAsia" w:ascii="宋体" w:hAnsi="宋体" w:eastAsia="宋体" w:cs="宋体"/>
          <w:color w:val="000000"/>
          <w:sz w:val="24"/>
          <w:szCs w:val="24"/>
          <w:highlight w:val="none"/>
          <w:u w:val="single"/>
        </w:rPr>
        <w:t xml:space="preserve"> 曹文元 </w:t>
      </w:r>
      <w:r>
        <w:rPr>
          <w:rFonts w:hint="eastAsia" w:ascii="宋体" w:hAnsi="宋体" w:eastAsia="宋体" w:cs="宋体"/>
          <w:color w:val="000000"/>
          <w:sz w:val="24"/>
          <w:szCs w:val="24"/>
          <w:highlight w:val="none"/>
          <w:u w:val="single"/>
        </w:rPr>
      </w:r>
      <w:r/>
    </w:p>
    <w:p>
      <w:pPr>
        <w:pStyle w:val="801"/>
        <w:ind w:firstLine="72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联系方式：</w:t>
      </w:r>
      <w:bookmarkStart w:id="77" w:name="_Toc28359009"/>
      <w:r/>
      <w:bookmarkStart w:id="78" w:name="_Toc28359086"/>
      <w:r>
        <w:rPr>
          <w:rFonts w:hint="eastAsia" w:ascii="宋体" w:hAnsi="宋体" w:eastAsia="宋体" w:cs="宋体"/>
          <w:color w:val="000000"/>
          <w:sz w:val="24"/>
          <w:szCs w:val="24"/>
          <w:highlight w:val="none"/>
          <w:u w:val="single"/>
        </w:rPr>
        <w:t xml:space="preserve">051487572246 </w:t>
      </w:r>
      <w:r>
        <w:rPr>
          <w:rFonts w:hint="eastAsia" w:ascii="宋体" w:hAnsi="宋体" w:eastAsia="宋体" w:cs="宋体"/>
          <w:color w:val="000000"/>
          <w:sz w:val="24"/>
          <w:szCs w:val="24"/>
          <w:highlight w:val="none"/>
        </w:rPr>
      </w:r>
      <w:r/>
    </w:p>
    <w:p>
      <w:pPr>
        <w:pStyle w:val="801"/>
        <w:ind w:firstLine="72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bookmarkEnd w:id="77"/>
      <w:r/>
      <w:bookmarkEnd w:id="78"/>
      <w:r>
        <w:rPr>
          <w:rFonts w:hint="eastAsia" w:ascii="宋体" w:hAnsi="宋体" w:eastAsia="宋体" w:cs="宋体"/>
          <w:color w:val="000000"/>
          <w:sz w:val="24"/>
          <w:szCs w:val="24"/>
          <w:highlight w:val="none"/>
        </w:rPr>
        <w:t xml:space="preserve">采购代理机构信息</w:t>
      </w:r>
      <w:r>
        <w:rPr>
          <w:rFonts w:hint="eastAsia" w:ascii="宋体" w:hAnsi="宋体" w:eastAsia="宋体" w:cs="宋体"/>
          <w:color w:val="000000"/>
          <w:sz w:val="24"/>
          <w:szCs w:val="24"/>
          <w:highlight w:val="none"/>
        </w:rPr>
      </w:r>
      <w:r/>
    </w:p>
    <w:p>
      <w:pPr>
        <w:pStyle w:val="801"/>
        <w:ind w:firstLine="720"/>
        <w:jc w:val="both"/>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名    称：</w:t>
      </w:r>
      <w:r>
        <w:rPr>
          <w:rFonts w:hint="eastAsia" w:ascii="宋体" w:hAnsi="宋体" w:eastAsia="宋体" w:cs="宋体"/>
          <w:color w:val="000000"/>
          <w:sz w:val="24"/>
          <w:szCs w:val="24"/>
          <w:highlight w:val="none"/>
          <w:u w:val="single"/>
        </w:rPr>
        <w:t xml:space="preserve">江苏天业工程咨询房地产估价有限责任公司</w:t>
      </w:r>
      <w:r>
        <w:rPr>
          <w:rFonts w:hint="eastAsia" w:ascii="宋体" w:hAnsi="宋体" w:eastAsia="宋体" w:cs="宋体"/>
          <w:color w:val="000000"/>
          <w:sz w:val="24"/>
          <w:szCs w:val="24"/>
          <w:highlight w:val="none"/>
          <w:u w:val="single"/>
        </w:rPr>
      </w:r>
      <w:r/>
    </w:p>
    <w:p>
      <w:pPr>
        <w:pStyle w:val="801"/>
        <w:ind w:firstLine="720"/>
        <w:jc w:val="both"/>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地　  址：</w:t>
      </w:r>
      <w:r>
        <w:rPr>
          <w:rFonts w:hint="eastAsia" w:ascii="宋体" w:hAnsi="宋体" w:eastAsia="宋体" w:cs="宋体"/>
          <w:color w:val="000000"/>
          <w:sz w:val="24"/>
          <w:szCs w:val="24"/>
          <w:highlight w:val="none"/>
          <w:u w:val="single"/>
        </w:rPr>
        <w:t xml:space="preserve">淮安市清江浦区延安东路105号武夷大厦17楼</w:t>
      </w:r>
      <w:r>
        <w:rPr>
          <w:rFonts w:hint="eastAsia" w:ascii="宋体" w:hAnsi="宋体" w:eastAsia="宋体" w:cs="宋体"/>
          <w:color w:val="000000"/>
          <w:sz w:val="24"/>
          <w:szCs w:val="24"/>
          <w:highlight w:val="none"/>
          <w:u w:val="single"/>
        </w:rPr>
      </w:r>
      <w:r/>
    </w:p>
    <w:p>
      <w:pPr>
        <w:pStyle w:val="801"/>
        <w:ind w:firstLine="720"/>
        <w:jc w:val="both"/>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联 系 人：</w:t>
      </w:r>
      <w:r>
        <w:rPr>
          <w:rFonts w:hint="eastAsia" w:ascii="宋体" w:hAnsi="宋体" w:eastAsia="宋体" w:cs="宋体"/>
          <w:color w:val="000000"/>
          <w:sz w:val="24"/>
          <w:szCs w:val="24"/>
          <w:highlight w:val="none"/>
          <w:u w:val="single"/>
        </w:rPr>
        <w:t xml:space="preserve">姚晨、袁贵霞</w:t>
      </w:r>
      <w:r>
        <w:rPr>
          <w:rFonts w:hint="eastAsia" w:ascii="宋体" w:hAnsi="宋体" w:eastAsia="宋体" w:cs="宋体"/>
          <w:color w:val="000000"/>
          <w:sz w:val="24"/>
          <w:szCs w:val="24"/>
          <w:highlight w:val="none"/>
          <w:u w:val="single"/>
        </w:rPr>
      </w:r>
      <w:r/>
    </w:p>
    <w:p>
      <w:pPr>
        <w:pStyle w:val="801"/>
        <w:ind w:firstLine="720"/>
        <w:jc w:val="both"/>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联系方式：</w:t>
      </w:r>
      <w:bookmarkStart w:id="79" w:name="_Toc28359087"/>
      <w:r/>
      <w:bookmarkStart w:id="80" w:name="_Toc28359010"/>
      <w:r>
        <w:rPr>
          <w:rFonts w:hint="eastAsia" w:ascii="宋体" w:hAnsi="宋体" w:eastAsia="宋体" w:cs="宋体"/>
          <w:color w:val="000000"/>
          <w:sz w:val="24"/>
          <w:szCs w:val="24"/>
          <w:highlight w:val="none"/>
          <w:u w:val="single"/>
          <w:lang w:val="en-US" w:eastAsia="zh-CN"/>
        </w:rPr>
        <w:t xml:space="preserve">0517-83716665、</w:t>
      </w:r>
      <w:r>
        <w:rPr>
          <w:rFonts w:hint="eastAsia" w:ascii="宋体" w:hAnsi="宋体" w:eastAsia="宋体" w:cs="宋体"/>
          <w:color w:val="000000"/>
          <w:sz w:val="24"/>
          <w:szCs w:val="24"/>
          <w:highlight w:val="none"/>
          <w:u w:val="single"/>
        </w:rPr>
        <w:t xml:space="preserve">15896199911</w:t>
      </w:r>
      <w:r>
        <w:rPr>
          <w:rFonts w:hint="eastAsia" w:ascii="宋体" w:hAnsi="宋体" w:eastAsia="宋体" w:cs="宋体"/>
          <w:color w:val="000000"/>
          <w:sz w:val="24"/>
          <w:szCs w:val="24"/>
          <w:highlight w:val="none"/>
          <w:u w:val="single"/>
        </w:rPr>
      </w:r>
      <w:r/>
    </w:p>
    <w:p>
      <w:pPr>
        <w:pStyle w:val="801"/>
        <w:ind w:firstLine="72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 系 QQ：</w:t>
      </w:r>
      <w:r>
        <w:rPr>
          <w:rFonts w:hint="eastAsia" w:ascii="宋体" w:hAnsi="宋体" w:eastAsia="宋体" w:cs="宋体"/>
          <w:color w:val="000000"/>
          <w:sz w:val="24"/>
          <w:szCs w:val="24"/>
          <w:highlight w:val="none"/>
          <w:u w:val="single"/>
        </w:rPr>
        <w:t xml:space="preserve">2571101（添加时请主动备注单位名称）</w:t>
      </w:r>
      <w:bookmarkEnd w:id="6"/>
      <w:r/>
      <w:bookmarkEnd w:id="7"/>
      <w:r/>
      <w:bookmarkEnd w:id="8"/>
      <w:r/>
      <w:bookmarkEnd w:id="79"/>
      <w:r/>
      <w:bookmarkEnd w:id="80"/>
      <w:r/>
      <w:bookmarkStart w:id="81" w:name="_Toc89848286"/>
      <w:r/>
      <w:bookmarkStart w:id="82" w:name="_Toc92015768"/>
      <w:r/>
      <w:bookmarkStart w:id="83" w:name="_Toc90104558"/>
      <w:r/>
      <w:bookmarkStart w:id="84" w:name="_Toc90105640"/>
      <w:r/>
      <w:bookmarkStart w:id="85" w:name="OLE_LINK5"/>
      <w:r/>
      <w:bookmarkStart w:id="86" w:name="_Toc90105826"/>
      <w:r/>
      <w:bookmarkStart w:id="87" w:name="_Toc90106645"/>
      <w:r/>
      <w:bookmarkStart w:id="88" w:name="_Toc90106007"/>
      <w:r/>
      <w:bookmarkStart w:id="89" w:name="_Toc90105453"/>
      <w:r/>
      <w:bookmarkStart w:id="90" w:name="_Toc90105265"/>
      <w:r/>
      <w:bookmarkStart w:id="91" w:name="_Toc90105076"/>
      <w:r/>
      <w:bookmarkStart w:id="92" w:name="_Toc90106188"/>
      <w:r/>
      <w:bookmarkStart w:id="93" w:name="_Toc90106826"/>
      <w:r>
        <w:rPr>
          <w:rFonts w:hint="eastAsia" w:ascii="宋体" w:hAnsi="宋体" w:eastAsia="宋体" w:cs="宋体"/>
          <w:color w:val="000000"/>
          <w:sz w:val="24"/>
          <w:szCs w:val="24"/>
          <w:highlight w:val="none"/>
        </w:rPr>
      </w:r>
      <w:r/>
    </w:p>
    <w:p>
      <w:pPr>
        <w:pStyle w:val="801"/>
        <w:ind w:firstLine="720"/>
        <w:jc w:val="both"/>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3.项目联系方式</w:t>
      </w:r>
      <w:r>
        <w:rPr>
          <w:rFonts w:hint="eastAsia" w:ascii="宋体" w:hAnsi="宋体" w:eastAsia="宋体" w:cs="宋体"/>
          <w:color w:val="000000"/>
          <w:sz w:val="24"/>
          <w:szCs w:val="24"/>
          <w:highlight w:val="none"/>
          <w:u w:val="single"/>
        </w:rPr>
      </w:r>
      <w:r/>
    </w:p>
    <w:p>
      <w:pPr>
        <w:pStyle w:val="816"/>
        <w:ind w:firstLine="720"/>
        <w:jc w:val="both"/>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项目联系人：</w:t>
      </w:r>
      <w:r>
        <w:rPr>
          <w:rFonts w:hint="eastAsia" w:ascii="宋体" w:hAnsi="宋体" w:eastAsia="宋体" w:cs="宋体"/>
          <w:color w:val="000000"/>
          <w:sz w:val="24"/>
          <w:szCs w:val="24"/>
          <w:highlight w:val="none"/>
          <w:u w:val="single"/>
          <w:lang w:val="en-US" w:eastAsia="zh-CN"/>
        </w:rPr>
        <w:t xml:space="preserve">姚晨、袁贵霞</w:t>
      </w:r>
      <w:r>
        <w:rPr>
          <w:rFonts w:hint="eastAsia" w:ascii="宋体" w:hAnsi="宋体" w:eastAsia="宋体" w:cs="宋体"/>
          <w:color w:val="000000"/>
          <w:sz w:val="24"/>
          <w:szCs w:val="24"/>
          <w:highlight w:val="none"/>
          <w:u w:val="single"/>
        </w:rPr>
      </w:r>
      <w:r/>
    </w:p>
    <w:p>
      <w:pPr>
        <w:pStyle w:val="816"/>
        <w:ind w:firstLine="720"/>
        <w:jc w:val="both"/>
        <w:rPr>
          <w:rFonts w:hint="eastAsia" w:ascii="宋体" w:hAnsi="宋体" w:eastAsia="宋体" w:cs="宋体"/>
          <w:color w:val="000000"/>
          <w:sz w:val="24"/>
          <w:szCs w:val="24"/>
          <w:highlight w:val="none"/>
          <w:u w:val="single"/>
          <w:lang w:val="en-US" w:eastAsia="zh-CN"/>
        </w:rPr>
      </w:pPr>
      <w:r>
        <w:rPr>
          <w:rFonts w:hint="eastAsia" w:ascii="宋体" w:hAnsi="宋体" w:eastAsia="宋体" w:cs="宋体"/>
          <w:color w:val="000000"/>
          <w:sz w:val="24"/>
          <w:szCs w:val="24"/>
          <w:highlight w:val="none"/>
        </w:rPr>
        <w:t xml:space="preserve">电　    话：</w:t>
      </w:r>
      <w:r>
        <w:rPr>
          <w:rFonts w:hint="eastAsia" w:ascii="宋体" w:hAnsi="宋体" w:eastAsia="宋体" w:cs="宋体"/>
          <w:color w:val="000000"/>
          <w:sz w:val="24"/>
          <w:szCs w:val="24"/>
          <w:highlight w:val="none"/>
          <w:u w:val="single"/>
          <w:lang w:val="en-US" w:eastAsia="zh-CN"/>
        </w:rPr>
        <w:t xml:space="preserve">0517-83716665、</w:t>
      </w:r>
      <w:r>
        <w:rPr>
          <w:rFonts w:hint="eastAsia" w:ascii="宋体" w:hAnsi="宋体" w:eastAsia="宋体" w:cs="宋体"/>
          <w:color w:val="000000"/>
          <w:sz w:val="24"/>
          <w:szCs w:val="24"/>
          <w:highlight w:val="none"/>
          <w:u w:val="single"/>
          <w:lang w:val="en-US" w:eastAsia="zh-CN"/>
        </w:rPr>
        <w:t xml:space="preserve">15896199911</w:t>
      </w:r>
      <w:r>
        <w:rPr>
          <w:rFonts w:hint="eastAsia" w:ascii="宋体" w:hAnsi="宋体" w:eastAsia="宋体" w:cs="宋体"/>
          <w:color w:val="000000"/>
          <w:sz w:val="24"/>
          <w:szCs w:val="24"/>
          <w:highlight w:val="none"/>
          <w:u w:val="single"/>
          <w:lang w:val="en-US" w:eastAsia="zh-CN"/>
        </w:rPr>
      </w:r>
      <w:r/>
    </w:p>
    <w:p>
      <w:pPr>
        <w:pStyle w:val="816"/>
        <w:ind w:firstLine="720"/>
        <w:rPr>
          <w:rFonts w:hint="eastAsia" w:ascii="宋体" w:hAnsi="宋体" w:eastAsia="宋体" w:cs="宋体"/>
          <w:color w:val="000000"/>
          <w:sz w:val="24"/>
          <w:szCs w:val="24"/>
          <w:highlight w:val="none"/>
          <w:u w:val="single"/>
          <w:lang w:val="zh-CN"/>
        </w:rPr>
      </w:pPr>
      <w:r>
        <w:rPr>
          <w:rFonts w:hint="eastAsia" w:ascii="宋体" w:hAnsi="宋体" w:eastAsia="宋体" w:cs="宋体"/>
          <w:color w:val="000000"/>
          <w:sz w:val="24"/>
          <w:szCs w:val="24"/>
          <w:highlight w:val="none"/>
          <w:u w:val="single"/>
          <w:lang w:val="zh-CN"/>
        </w:rPr>
      </w:r>
      <w:r/>
    </w:p>
    <w:p>
      <w:pPr>
        <w:pStyle w:val="802"/>
        <w:jc w:val="center"/>
        <w:keepLines w:val="0"/>
        <w:keepNext w:val="0"/>
        <w:spacing w:before="0" w:after="0" w:line="360" w:lineRule="auto"/>
        <w:tabs>
          <w:tab w:val="left" w:pos="0" w:leader="none"/>
          <w:tab w:val="left" w:pos="3165" w:leader="none"/>
          <w:tab w:val="center" w:pos="4153" w:leader="none"/>
        </w:tabs>
        <w:rPr>
          <w:rFonts w:hint="eastAsia" w:ascii="宋体" w:hAnsi="宋体" w:eastAsia="宋体" w:cs="宋体"/>
          <w:color w:val="000000"/>
          <w:sz w:val="40"/>
          <w:highlight w:val="none"/>
        </w:rPr>
      </w:pPr>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Start w:id="94" w:name="_Toc152045527"/>
      <w:r/>
      <w:bookmarkStart w:id="95" w:name="_Toc179632544"/>
      <w:r/>
      <w:bookmarkStart w:id="96" w:name="_Toc234675074"/>
      <w:r/>
      <w:bookmarkStart w:id="97" w:name="_Toc152042303"/>
      <w:r/>
      <w:bookmarkStart w:id="98" w:name="_Toc238559183"/>
      <w:r/>
      <w:bookmarkStart w:id="99" w:name="_Toc432244494"/>
      <w:r/>
      <w:bookmarkStart w:id="100" w:name="_Toc503307425"/>
      <w:r/>
      <w:bookmarkStart w:id="101" w:name="_Toc503901904"/>
      <w:r/>
      <w:bookmarkStart w:id="102" w:name="_Toc234744442"/>
      <w:r/>
      <w:bookmarkStart w:id="103" w:name="_Toc144974495"/>
      <w:r>
        <w:rPr>
          <w:rFonts w:hint="eastAsia" w:ascii="宋体" w:hAnsi="宋体" w:eastAsia="宋体" w:cs="宋体"/>
          <w:color w:val="000000"/>
          <w:sz w:val="24"/>
          <w:szCs w:val="24"/>
          <w:highlight w:val="none"/>
        </w:rPr>
        <w:br w:type="page" w:clear="all"/>
      </w:r>
      <w:bookmarkStart w:id="104" w:name="_Toc211090857"/>
      <w:r>
        <w:rPr>
          <w:rFonts w:hint="eastAsia" w:ascii="宋体" w:hAnsi="宋体" w:eastAsia="宋体" w:cs="宋体"/>
          <w:color w:val="000000"/>
          <w:sz w:val="44"/>
          <w:szCs w:val="44"/>
          <w:highlight w:val="none"/>
        </w:rPr>
        <w:t xml:space="preserve">第二章 投标人须知</w:t>
      </w:r>
      <w:bookmarkEnd w:id="94"/>
      <w:r/>
      <w:bookmarkEnd w:id="95"/>
      <w:r/>
      <w:bookmarkEnd w:id="96"/>
      <w:r/>
      <w:bookmarkEnd w:id="97"/>
      <w:r/>
      <w:bookmarkEnd w:id="98"/>
      <w:r/>
      <w:bookmarkEnd w:id="99"/>
      <w:r/>
      <w:bookmarkEnd w:id="100"/>
      <w:r/>
      <w:bookmarkEnd w:id="101"/>
      <w:r/>
      <w:bookmarkEnd w:id="102"/>
      <w:r/>
      <w:bookmarkEnd w:id="103"/>
      <w:r/>
      <w:bookmarkEnd w:id="104"/>
      <w:r>
        <w:rPr>
          <w:rFonts w:hint="eastAsia" w:ascii="宋体" w:hAnsi="宋体" w:eastAsia="宋体" w:cs="宋体"/>
          <w:color w:val="000000"/>
          <w:sz w:val="40"/>
          <w:highlight w:val="none"/>
        </w:rPr>
      </w:r>
      <w:r/>
    </w:p>
    <w:p>
      <w:pPr>
        <w:pStyle w:val="802"/>
        <w:ind w:firstLine="0"/>
        <w:keepLines w:val="0"/>
        <w:keepNext w:val="0"/>
        <w:pageBreakBefore w:val="0"/>
        <w:spacing w:before="0" w:after="0" w:line="360" w:lineRule="auto"/>
        <w:widowControl w:val="off"/>
        <w:tabs>
          <w:tab w:val="left" w:pos="1440" w:leader="none"/>
        </w:tabs>
        <w:rPr>
          <w:rFonts w:hint="eastAsia" w:ascii="宋体" w:hAnsi="宋体" w:eastAsia="宋体" w:cs="宋体"/>
          <w:color w:val="000000"/>
          <w:sz w:val="24"/>
          <w:szCs w:val="24"/>
          <w:highlight w:val="none"/>
        </w:rPr>
      </w:pPr>
      <w:r/>
      <w:bookmarkStart w:id="105" w:name="_Toc17323"/>
      <w:r/>
      <w:bookmarkStart w:id="106" w:name="_Toc211090858"/>
      <w:r/>
      <w:bookmarkStart w:id="107" w:name="_Toc9333225"/>
      <w:r/>
      <w:bookmarkStart w:id="108" w:name="_Toc5647"/>
      <w:r/>
      <w:bookmarkStart w:id="109" w:name="_Toc18914"/>
      <w:r/>
      <w:bookmarkStart w:id="110" w:name="_Toc499"/>
      <w:r>
        <w:rPr>
          <w:rFonts w:hint="eastAsia" w:ascii="宋体" w:hAnsi="宋体" w:eastAsia="宋体" w:cs="宋体"/>
          <w:color w:val="000000"/>
          <w:sz w:val="24"/>
          <w:szCs w:val="24"/>
          <w:highlight w:val="none"/>
        </w:rPr>
        <w:t xml:space="preserve">㈠投标人须知前附表</w:t>
      </w:r>
      <w:bookmarkEnd w:id="105"/>
      <w:r/>
      <w:bookmarkEnd w:id="106"/>
      <w:r/>
      <w:bookmarkEnd w:id="107"/>
      <w:r/>
      <w:bookmarkEnd w:id="108"/>
      <w:r/>
      <w:bookmarkEnd w:id="109"/>
      <w:r/>
      <w:bookmarkEnd w:id="110"/>
      <w:r>
        <w:rPr>
          <w:rFonts w:hint="eastAsia" w:ascii="宋体" w:hAnsi="宋体" w:eastAsia="宋体" w:cs="宋体"/>
          <w:color w:val="000000"/>
          <w:sz w:val="24"/>
          <w:szCs w:val="24"/>
          <w:highlight w:val="none"/>
        </w:rPr>
      </w:r>
      <w:r/>
    </w:p>
    <w:tbl>
      <w:tblPr>
        <w:tblpPr w:horzAnchor="text" w:tblpXSpec="center" w:vertAnchor="text" w:tblpY="1" w:leftFromText="180" w:topFromText="0" w:rightFromText="180" w:bottomFromText="0"/>
        <w:tblW w:w="492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82"/>
        <w:gridCol w:w="2402"/>
        <w:gridCol w:w="5755"/>
      </w:tblGrid>
      <w:tr>
        <w:trPr>
          <w:trHeight w:val="454"/>
        </w:trPr>
        <w:tc>
          <w:tcPr>
            <w:tcW w:w="537" w:type="dxa"/>
            <w:vAlign w:val="center"/>
            <w:textDirection w:val="lrTb"/>
            <w:noWrap w:val="false"/>
          </w:tcPr>
          <w:p>
            <w:pPr>
              <w:pStyle w:val="801"/>
              <w:ind w:firstLine="0"/>
              <w:jc w:val="center"/>
              <w:keepLines w:val="0"/>
              <w:keepNext w:val="0"/>
              <w:pageBreakBefore w:val="0"/>
              <w:spacing w:line="324" w:lineRule="auto"/>
              <w:widowControl w:val="off"/>
              <w:rPr>
                <w:rFonts w:hint="eastAsia" w:ascii="宋体" w:hAnsi="宋体" w:eastAsia="宋体" w:cs="宋体"/>
                <w:color w:val="000000"/>
                <w:sz w:val="21"/>
                <w:szCs w:val="21"/>
                <w:highlight w:val="none"/>
              </w:rPr>
              <w:framePr w:vAnchor="margin" w:hAnchor="page" w:xAlign="center" w:y="1"/>
            </w:pPr>
            <w:r/>
            <w:bookmarkStart w:id="111" w:name="_Hlk71812492"/>
            <w:r>
              <w:rPr>
                <w:rFonts w:hint="eastAsia" w:ascii="宋体" w:hAnsi="宋体" w:eastAsia="宋体" w:cs="宋体"/>
                <w:color w:val="000000"/>
                <w:sz w:val="21"/>
                <w:szCs w:val="21"/>
                <w:highlight w:val="none"/>
              </w:rPr>
              <w:t xml:space="preserve">条款号</w:t>
            </w:r>
            <w:r>
              <w:rPr>
                <w:rFonts w:hint="eastAsia" w:ascii="宋体" w:hAnsi="宋体" w:eastAsia="宋体" w:cs="宋体"/>
                <w:color w:val="000000"/>
                <w:sz w:val="21"/>
                <w:szCs w:val="21"/>
                <w:highlight w:val="none"/>
              </w:rPr>
            </w:r>
            <w:r/>
          </w:p>
        </w:tc>
        <w:tc>
          <w:tcPr>
            <w:tcW w:w="1314" w:type="dxa"/>
            <w:vAlign w:val="center"/>
            <w:textDirection w:val="lrTb"/>
            <w:noWrap w:val="false"/>
          </w:tcPr>
          <w:p>
            <w:pPr>
              <w:pStyle w:val="801"/>
              <w:ind w:hanging="10"/>
              <w:jc w:val="center"/>
              <w:keepLines w:val="0"/>
              <w:keepNext w:val="0"/>
              <w:pageBreakBefore w:val="0"/>
              <w:spacing w:line="324" w:lineRule="auto"/>
              <w:widowControl w:val="off"/>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t xml:space="preserve">条 款 名 称</w:t>
            </w:r>
            <w:r>
              <w:rPr>
                <w:rFonts w:hint="eastAsia" w:ascii="宋体" w:hAnsi="宋体" w:eastAsia="宋体" w:cs="宋体"/>
                <w:color w:val="000000"/>
                <w:sz w:val="21"/>
                <w:szCs w:val="21"/>
                <w:highlight w:val="none"/>
              </w:rPr>
            </w:r>
            <w:r/>
          </w:p>
        </w:tc>
        <w:tc>
          <w:tcPr>
            <w:tcW w:w="3148" w:type="dxa"/>
            <w:vAlign w:val="center"/>
            <w:textDirection w:val="lrTb"/>
            <w:noWrap w:val="false"/>
          </w:tcPr>
          <w:p>
            <w:pPr>
              <w:pStyle w:val="801"/>
              <w:ind w:hanging="10"/>
              <w:jc w:val="center"/>
              <w:keepLines w:val="0"/>
              <w:keepNext w:val="0"/>
              <w:pageBreakBefore w:val="0"/>
              <w:spacing w:line="324" w:lineRule="auto"/>
              <w:widowControl w:val="off"/>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t xml:space="preserve">编 列 内 容</w:t>
            </w:r>
            <w:r>
              <w:rPr>
                <w:rFonts w:hint="eastAsia" w:ascii="宋体" w:hAnsi="宋体" w:eastAsia="宋体" w:cs="宋体"/>
                <w:color w:val="000000"/>
                <w:sz w:val="21"/>
                <w:szCs w:val="21"/>
                <w:highlight w:val="none"/>
              </w:rPr>
            </w:r>
            <w:r/>
          </w:p>
        </w:tc>
      </w:tr>
      <w:tr>
        <w:trPr>
          <w:trHeight w:val="454"/>
        </w:trPr>
        <w:tc>
          <w:tcPr>
            <w:tcW w:w="537" w:type="dxa"/>
            <w:vAlign w:val="center"/>
            <w:textDirection w:val="lrTb"/>
            <w:noWrap w:val="false"/>
          </w:tcPr>
          <w:p>
            <w:pPr>
              <w:pStyle w:val="801"/>
              <w:ind w:hanging="10"/>
              <w:jc w:val="center"/>
              <w:keepLines w:val="0"/>
              <w:keepNext w:val="0"/>
              <w:pageBreakBefore w:val="0"/>
              <w:spacing w:line="324" w:lineRule="auto"/>
              <w:widowControl w:val="off"/>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W w:w="1314" w:type="dxa"/>
            <w:vAlign w:val="center"/>
            <w:textDirection w:val="lrTb"/>
            <w:noWrap w:val="false"/>
          </w:tcPr>
          <w:p>
            <w:pPr>
              <w:pStyle w:val="801"/>
              <w:ind w:hanging="10"/>
              <w:jc w:val="center"/>
              <w:keepLines w:val="0"/>
              <w:keepNext w:val="0"/>
              <w:pageBreakBefore w:val="0"/>
              <w:spacing w:line="324" w:lineRule="auto"/>
              <w:widowControl w:val="off"/>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t xml:space="preserve">采购标的对应的中小企业划分标准所属行业</w:t>
            </w:r>
            <w:r>
              <w:rPr>
                <w:rFonts w:hint="eastAsia" w:ascii="宋体" w:hAnsi="宋体" w:eastAsia="宋体" w:cs="宋体"/>
                <w:color w:val="000000"/>
                <w:sz w:val="21"/>
                <w:szCs w:val="21"/>
                <w:highlight w:val="none"/>
              </w:rPr>
            </w:r>
            <w:r/>
          </w:p>
        </w:tc>
        <w:tc>
          <w:tcPr>
            <w:tcW w:w="3148" w:type="dxa"/>
            <w:vAlign w:val="center"/>
            <w:textDirection w:val="lrTb"/>
            <w:noWrap w:val="false"/>
          </w:tcPr>
          <w:p>
            <w:pPr>
              <w:pStyle w:val="801"/>
              <w:ind w:hanging="10"/>
              <w:jc w:val="left"/>
              <w:keepLines w:val="0"/>
              <w:keepNext w:val="0"/>
              <w:pageBreakBefore w:val="0"/>
              <w:spacing w:line="324" w:lineRule="auto"/>
              <w:widowControl w:val="off"/>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t xml:space="preserve">所属行业为：建筑业</w:t>
            </w:r>
            <w:r>
              <w:rPr>
                <w:rFonts w:hint="eastAsia" w:ascii="宋体" w:hAnsi="宋体" w:eastAsia="宋体" w:cs="宋体"/>
                <w:color w:val="000000"/>
                <w:sz w:val="21"/>
                <w:szCs w:val="21"/>
                <w:highlight w:val="none"/>
              </w:rPr>
            </w:r>
            <w:r/>
          </w:p>
        </w:tc>
      </w:tr>
      <w:tr>
        <w:trPr>
          <w:trHeight w:val="454"/>
        </w:trPr>
        <w:tc>
          <w:tcPr>
            <w:tcW w:w="537" w:type="dxa"/>
            <w:vAlign w:val="center"/>
            <w:textDirection w:val="lrTb"/>
            <w:noWrap w:val="false"/>
          </w:tcPr>
          <w:p>
            <w:pPr>
              <w:pStyle w:val="801"/>
              <w:ind w:hanging="10"/>
              <w:jc w:val="center"/>
              <w:keepLines w:val="0"/>
              <w:keepNext w:val="0"/>
              <w:pageBreakBefore w:val="0"/>
              <w:spacing w:line="324" w:lineRule="auto"/>
              <w:widowControl w:val="off"/>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c>
          <w:tcPr>
            <w:tcW w:w="1314" w:type="dxa"/>
            <w:vAlign w:val="center"/>
            <w:textDirection w:val="lrTb"/>
            <w:noWrap w:val="false"/>
          </w:tcPr>
          <w:p>
            <w:pPr>
              <w:pStyle w:val="801"/>
              <w:ind w:hanging="10"/>
              <w:jc w:val="center"/>
              <w:keepLines w:val="0"/>
              <w:keepNext w:val="0"/>
              <w:pageBreakBefore w:val="0"/>
              <w:spacing w:line="324" w:lineRule="auto"/>
              <w:widowControl w:val="off"/>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t xml:space="preserve">是否专门面向中小企业或小型、微型企业采购</w:t>
            </w:r>
            <w:r>
              <w:rPr>
                <w:rFonts w:hint="eastAsia" w:ascii="宋体" w:hAnsi="宋体" w:eastAsia="宋体" w:cs="宋体"/>
                <w:color w:val="000000"/>
                <w:sz w:val="21"/>
                <w:szCs w:val="21"/>
                <w:highlight w:val="none"/>
              </w:rPr>
            </w:r>
            <w:r/>
          </w:p>
        </w:tc>
        <w:tc>
          <w:tcPr>
            <w:tcW w:w="3148" w:type="dxa"/>
            <w:vAlign w:val="center"/>
            <w:textDirection w:val="lrTb"/>
            <w:noWrap w:val="false"/>
          </w:tcPr>
          <w:p>
            <w:pPr>
              <w:pStyle w:val="801"/>
              <w:ind w:hanging="10"/>
              <w:jc w:val="left"/>
              <w:keepLines w:val="0"/>
              <w:keepNext w:val="0"/>
              <w:pageBreakBefore w:val="0"/>
              <w:spacing w:line="324" w:lineRule="auto"/>
              <w:widowControl w:val="off"/>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t xml:space="preserve">☑否</w:t>
            </w:r>
            <w:r>
              <w:rPr>
                <w:rFonts w:hint="eastAsia" w:ascii="宋体" w:hAnsi="宋体" w:eastAsia="宋体" w:cs="宋体"/>
                <w:color w:val="000000"/>
                <w:sz w:val="21"/>
                <w:szCs w:val="21"/>
                <w:highlight w:val="none"/>
              </w:rPr>
            </w:r>
            <w:r/>
          </w:p>
        </w:tc>
      </w:tr>
      <w:tr>
        <w:trPr>
          <w:trHeight w:val="454"/>
        </w:trPr>
        <w:tc>
          <w:tcPr>
            <w:tcW w:w="537" w:type="dxa"/>
            <w:vAlign w:val="center"/>
            <w:textDirection w:val="lrTb"/>
            <w:noWrap w:val="false"/>
          </w:tcPr>
          <w:p>
            <w:pPr>
              <w:pStyle w:val="801"/>
              <w:ind w:hanging="10"/>
              <w:jc w:val="center"/>
              <w:keepLines w:val="0"/>
              <w:keepNext w:val="0"/>
              <w:pageBreakBefore w:val="0"/>
              <w:spacing w:line="324" w:lineRule="auto"/>
              <w:widowControl w:val="off"/>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rPr>
            </w:r>
            <w:r/>
          </w:p>
        </w:tc>
        <w:tc>
          <w:tcPr>
            <w:tcW w:w="1314" w:type="dxa"/>
            <w:vAlign w:val="center"/>
            <w:textDirection w:val="lrTb"/>
            <w:noWrap w:val="false"/>
          </w:tcPr>
          <w:p>
            <w:pPr>
              <w:pStyle w:val="801"/>
              <w:ind w:hanging="10"/>
              <w:jc w:val="center"/>
              <w:keepLines w:val="0"/>
              <w:keepNext w:val="0"/>
              <w:pageBreakBefore w:val="0"/>
              <w:spacing w:line="324" w:lineRule="auto"/>
              <w:widowControl w:val="off"/>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t xml:space="preserve">分包</w:t>
            </w:r>
            <w:r>
              <w:rPr>
                <w:rFonts w:hint="eastAsia" w:ascii="宋体" w:hAnsi="宋体" w:eastAsia="宋体" w:cs="宋体"/>
                <w:color w:val="000000"/>
                <w:sz w:val="21"/>
                <w:szCs w:val="21"/>
                <w:highlight w:val="none"/>
              </w:rPr>
            </w:r>
            <w:r/>
          </w:p>
        </w:tc>
        <w:tc>
          <w:tcPr>
            <w:tcW w:w="3148" w:type="dxa"/>
            <w:vAlign w:val="center"/>
            <w:textDirection w:val="lrTb"/>
            <w:noWrap w:val="false"/>
          </w:tcPr>
          <w:p>
            <w:pPr>
              <w:pStyle w:val="801"/>
              <w:ind w:hanging="10"/>
              <w:jc w:val="left"/>
              <w:keepLines w:val="0"/>
              <w:keepNext w:val="0"/>
              <w:pageBreakBefore w:val="0"/>
              <w:spacing w:line="324" w:lineRule="auto"/>
              <w:widowControl w:val="off"/>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t xml:space="preserve">☑不允许违法分包，</w:t>
            </w:r>
            <w:r>
              <w:rPr>
                <w:rFonts w:hint="eastAsia" w:ascii="宋体" w:hAnsi="宋体" w:eastAsia="宋体" w:cs="宋体"/>
                <w:color w:val="000000"/>
                <w:sz w:val="21"/>
                <w:szCs w:val="21"/>
                <w:highlight w:val="none"/>
                <w:lang w:val="en-US" w:eastAsia="zh-CN"/>
              </w:rPr>
              <w:t xml:space="preserve">分包管理按照《江苏省公路水运工程施工分包管理实施细则》（苏交规【2025】2号文）执行</w:t>
            </w:r>
            <w:r>
              <w:rPr>
                <w:rFonts w:hint="eastAsia" w:ascii="宋体" w:hAnsi="宋体" w:eastAsia="宋体" w:cs="宋体"/>
                <w:color w:val="000000"/>
                <w:sz w:val="21"/>
                <w:szCs w:val="21"/>
                <w:highlight w:val="none"/>
              </w:rPr>
              <w:t xml:space="preserve">。</w:t>
            </w:r>
            <w:r>
              <w:rPr>
                <w:rFonts w:hint="eastAsia" w:ascii="宋体" w:hAnsi="宋体" w:eastAsia="宋体" w:cs="宋体"/>
                <w:b/>
                <w:bCs/>
                <w:color w:val="000000"/>
                <w:sz w:val="21"/>
                <w:szCs w:val="21"/>
                <w:highlight w:val="none"/>
                <w:lang w:val="en-US" w:eastAsia="zh-CN"/>
              </w:rPr>
              <w:t xml:space="preserve">(</w:t>
            </w:r>
            <w:r>
              <w:rPr>
                <w:rFonts w:hint="eastAsia" w:ascii="宋体" w:hAnsi="宋体" w:eastAsia="宋体" w:cs="宋体"/>
                <w:color w:val="000000"/>
                <w:sz w:val="21"/>
                <w:szCs w:val="21"/>
                <w:highlight w:val="none"/>
                <w:lang w:val="zh-CN"/>
              </w:rPr>
              <w:t xml:space="preserve">提供</w:t>
            </w:r>
            <w:r>
              <w:rPr>
                <w:rFonts w:hint="eastAsia" w:ascii="宋体" w:hAnsi="宋体" w:eastAsia="宋体" w:cs="宋体"/>
                <w:color w:val="000000"/>
                <w:sz w:val="21"/>
                <w:szCs w:val="21"/>
                <w:highlight w:val="none"/>
                <w:lang w:val="en-US" w:eastAsia="zh-CN"/>
              </w:rPr>
              <w:t xml:space="preserve">承诺书</w:t>
            </w:r>
            <w:r>
              <w:rPr>
                <w:rFonts w:hint="eastAsia" w:ascii="宋体" w:hAnsi="宋体" w:eastAsia="宋体" w:cs="宋体"/>
                <w:color w:val="000000"/>
                <w:sz w:val="21"/>
                <w:szCs w:val="21"/>
                <w:highlight w:val="none"/>
                <w:lang w:val="zh-CN"/>
              </w:rPr>
              <w:t xml:space="preserve">并加盖投标人CA电子签章</w:t>
            </w:r>
            <w:r>
              <w:rPr>
                <w:rFonts w:hint="eastAsia" w:ascii="宋体" w:hAnsi="宋体" w:eastAsia="宋体" w:cs="宋体"/>
                <w:b/>
                <w:bCs/>
                <w:color w:val="000000"/>
                <w:sz w:val="21"/>
                <w:szCs w:val="21"/>
                <w:highlight w:val="none"/>
                <w:lang w:val="en-US" w:eastAsia="zh-CN"/>
              </w:rPr>
              <w:t xml:space="preserve">）</w:t>
            </w:r>
            <w:r>
              <w:rPr>
                <w:rFonts w:hint="eastAsia" w:ascii="宋体" w:hAnsi="宋体" w:eastAsia="宋体" w:cs="宋体"/>
                <w:color w:val="000000"/>
                <w:sz w:val="21"/>
                <w:szCs w:val="21"/>
                <w:highlight w:val="none"/>
              </w:rPr>
            </w:r>
            <w:r/>
          </w:p>
        </w:tc>
      </w:tr>
      <w:tr>
        <w:trPr>
          <w:trHeight w:val="454"/>
        </w:trPr>
        <w:tc>
          <w:tcPr>
            <w:tcW w:w="537" w:type="dxa"/>
            <w:vAlign w:val="center"/>
            <w:textDirection w:val="lrTb"/>
            <w:noWrap w:val="false"/>
          </w:tcPr>
          <w:p>
            <w:pPr>
              <w:pStyle w:val="801"/>
              <w:ind w:hanging="10"/>
              <w:jc w:val="center"/>
              <w:keepLines w:val="0"/>
              <w:keepNext w:val="0"/>
              <w:pageBreakBefore w:val="0"/>
              <w:spacing w:line="324" w:lineRule="auto"/>
              <w:widowControl w:val="off"/>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rPr>
            </w:r>
            <w:r/>
          </w:p>
        </w:tc>
        <w:tc>
          <w:tcPr>
            <w:tcW w:w="1314" w:type="dxa"/>
            <w:vAlign w:val="center"/>
            <w:textDirection w:val="lrTb"/>
            <w:noWrap w:val="false"/>
          </w:tcPr>
          <w:p>
            <w:pPr>
              <w:pStyle w:val="801"/>
              <w:ind w:hanging="10"/>
              <w:jc w:val="center"/>
              <w:keepLines w:val="0"/>
              <w:keepNext w:val="0"/>
              <w:pageBreakBefore w:val="0"/>
              <w:spacing w:line="324" w:lineRule="auto"/>
              <w:widowControl w:val="off"/>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t xml:space="preserve">联合体</w:t>
            </w:r>
            <w:r>
              <w:rPr>
                <w:rFonts w:hint="eastAsia" w:ascii="宋体" w:hAnsi="宋体" w:eastAsia="宋体" w:cs="宋体"/>
                <w:color w:val="000000"/>
                <w:sz w:val="21"/>
                <w:szCs w:val="21"/>
                <w:highlight w:val="none"/>
              </w:rPr>
            </w:r>
            <w:r/>
          </w:p>
        </w:tc>
        <w:tc>
          <w:tcPr>
            <w:tcW w:w="3148" w:type="dxa"/>
            <w:vAlign w:val="center"/>
            <w:textDirection w:val="lrTb"/>
            <w:noWrap w:val="false"/>
          </w:tcPr>
          <w:p>
            <w:pPr>
              <w:pStyle w:val="801"/>
              <w:ind w:hanging="10"/>
              <w:jc w:val="left"/>
              <w:keepLines w:val="0"/>
              <w:keepNext w:val="0"/>
              <w:pageBreakBefore w:val="0"/>
              <w:spacing w:line="324" w:lineRule="auto"/>
              <w:widowControl w:val="off"/>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t xml:space="preserve">不接受</w:t>
            </w:r>
            <w:r>
              <w:rPr>
                <w:rFonts w:hint="eastAsia" w:ascii="宋体" w:hAnsi="宋体" w:eastAsia="宋体" w:cs="宋体"/>
                <w:color w:val="000000"/>
                <w:sz w:val="21"/>
                <w:szCs w:val="21"/>
                <w:highlight w:val="none"/>
              </w:rPr>
            </w:r>
            <w:r/>
          </w:p>
        </w:tc>
      </w:tr>
      <w:tr>
        <w:trPr>
          <w:trHeight w:val="454"/>
        </w:trPr>
        <w:tc>
          <w:tcPr>
            <w:tcW w:w="537" w:type="dxa"/>
            <w:vAlign w:val="center"/>
            <w:textDirection w:val="lrTb"/>
            <w:noWrap w:val="false"/>
          </w:tcPr>
          <w:p>
            <w:pPr>
              <w:pStyle w:val="801"/>
              <w:ind w:hanging="10"/>
              <w:jc w:val="center"/>
              <w:keepLines w:val="0"/>
              <w:keepNext w:val="0"/>
              <w:pageBreakBefore w:val="0"/>
              <w:spacing w:line="324" w:lineRule="auto"/>
              <w:widowControl w:val="off"/>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rPr>
            </w:r>
            <w:r/>
          </w:p>
        </w:tc>
        <w:tc>
          <w:tcPr>
            <w:tcW w:w="1314" w:type="dxa"/>
            <w:vAlign w:val="center"/>
            <w:textDirection w:val="lrTb"/>
            <w:noWrap w:val="false"/>
          </w:tcPr>
          <w:p>
            <w:pPr>
              <w:pStyle w:val="801"/>
              <w:ind w:hanging="10"/>
              <w:jc w:val="center"/>
              <w:keepLines w:val="0"/>
              <w:keepNext w:val="0"/>
              <w:pageBreakBefore w:val="0"/>
              <w:spacing w:line="324" w:lineRule="auto"/>
              <w:widowControl w:val="off"/>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t xml:space="preserve">投标人询问或要求澄清的截止时间</w:t>
            </w:r>
            <w:r>
              <w:rPr>
                <w:rFonts w:hint="eastAsia" w:ascii="宋体" w:hAnsi="宋体" w:eastAsia="宋体" w:cs="宋体"/>
                <w:color w:val="000000"/>
                <w:sz w:val="21"/>
                <w:szCs w:val="21"/>
                <w:highlight w:val="none"/>
              </w:rPr>
            </w:r>
            <w:r/>
          </w:p>
        </w:tc>
        <w:tc>
          <w:tcPr>
            <w:tcW w:w="3148" w:type="dxa"/>
            <w:vAlign w:val="center"/>
            <w:textDirection w:val="lrTb"/>
            <w:noWrap w:val="false"/>
          </w:tcPr>
          <w:p>
            <w:pPr>
              <w:pStyle w:val="801"/>
              <w:ind w:hanging="10"/>
              <w:jc w:val="left"/>
              <w:keepLines w:val="0"/>
              <w:keepNext w:val="0"/>
              <w:pageBreakBefore w:val="0"/>
              <w:spacing w:line="324" w:lineRule="auto"/>
              <w:widowControl w:val="off"/>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t xml:space="preserve">提交投标文件截止时间前15日</w:t>
            </w:r>
            <w:r>
              <w:rPr>
                <w:rFonts w:hint="eastAsia" w:ascii="宋体" w:hAnsi="宋体" w:eastAsia="宋体" w:cs="宋体"/>
                <w:color w:val="000000"/>
                <w:sz w:val="21"/>
                <w:szCs w:val="21"/>
                <w:highlight w:val="none"/>
              </w:rPr>
            </w:r>
            <w:r/>
          </w:p>
        </w:tc>
      </w:tr>
      <w:tr>
        <w:trPr>
          <w:trHeight w:val="1964"/>
        </w:trPr>
        <w:tc>
          <w:tcPr>
            <w:tcW w:w="537" w:type="dxa"/>
            <w:vAlign w:val="center"/>
            <w:textDirection w:val="lrTb"/>
            <w:noWrap w:val="false"/>
          </w:tcPr>
          <w:p>
            <w:pPr>
              <w:pStyle w:val="801"/>
              <w:ind w:hanging="10"/>
              <w:jc w:val="center"/>
              <w:keepLines w:val="0"/>
              <w:keepNext w:val="0"/>
              <w:pageBreakBefore w:val="0"/>
              <w:spacing w:line="324" w:lineRule="auto"/>
              <w:widowControl w:val="off"/>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t xml:space="preserve">6</w:t>
            </w:r>
            <w:r>
              <w:rPr>
                <w:rFonts w:hint="eastAsia" w:ascii="宋体" w:hAnsi="宋体" w:eastAsia="宋体" w:cs="宋体"/>
                <w:color w:val="000000"/>
                <w:sz w:val="21"/>
                <w:szCs w:val="21"/>
                <w:highlight w:val="none"/>
              </w:rPr>
            </w:r>
            <w:r/>
          </w:p>
        </w:tc>
        <w:tc>
          <w:tcPr>
            <w:tcW w:w="1314" w:type="dxa"/>
            <w:vAlign w:val="center"/>
            <w:textDirection w:val="lrTb"/>
            <w:noWrap w:val="false"/>
          </w:tcPr>
          <w:p>
            <w:pPr>
              <w:pStyle w:val="801"/>
              <w:ind w:hanging="10"/>
              <w:jc w:val="center"/>
              <w:keepLines w:val="0"/>
              <w:keepNext w:val="0"/>
              <w:pageBreakBefore w:val="0"/>
              <w:spacing w:line="324" w:lineRule="auto"/>
              <w:widowControl w:val="off"/>
              <w:rPr>
                <w:rFonts w:hint="eastAsia" w:ascii="宋体" w:hAnsi="宋体" w:eastAsia="宋体" w:cs="宋体"/>
                <w:color w:val="000000"/>
                <w:sz w:val="21"/>
                <w:szCs w:val="21"/>
                <w:highlight w:val="none"/>
              </w:rPr>
              <w:framePr w:vAnchor="margin" w:hAnchor="page" w:xAlign="center" w:y="1"/>
            </w:pPr>
            <w:r/>
            <w:bookmarkStart w:id="112" w:name="_Toc9333226"/>
            <w:r/>
            <w:bookmarkStart w:id="113" w:name="_Toc38466022"/>
            <w:r/>
            <w:bookmarkStart w:id="114" w:name="_Toc9333273"/>
            <w:r>
              <w:rPr>
                <w:rFonts w:hint="eastAsia" w:ascii="宋体" w:hAnsi="宋体" w:eastAsia="宋体" w:cs="宋体"/>
                <w:color w:val="000000"/>
                <w:sz w:val="21"/>
                <w:szCs w:val="21"/>
                <w:highlight w:val="none"/>
              </w:rPr>
              <w:t xml:space="preserve">质疑函送达方式</w:t>
            </w:r>
            <w:bookmarkEnd w:id="112"/>
            <w:r/>
            <w:bookmarkEnd w:id="113"/>
            <w:r/>
            <w:bookmarkEnd w:id="114"/>
            <w:r>
              <w:rPr>
                <w:rFonts w:hint="eastAsia" w:ascii="宋体" w:hAnsi="宋体" w:eastAsia="宋体" w:cs="宋体"/>
                <w:color w:val="000000"/>
                <w:sz w:val="21"/>
                <w:szCs w:val="21"/>
                <w:highlight w:val="none"/>
              </w:rPr>
            </w:r>
            <w:r/>
          </w:p>
        </w:tc>
        <w:tc>
          <w:tcPr>
            <w:tcW w:w="3148" w:type="dxa"/>
            <w:vAlign w:val="center"/>
            <w:textDirection w:val="lrTb"/>
            <w:noWrap w:val="false"/>
          </w:tcPr>
          <w:p>
            <w:pPr>
              <w:pStyle w:val="801"/>
              <w:ind w:hanging="10"/>
              <w:jc w:val="left"/>
              <w:keepLines w:val="0"/>
              <w:keepNext w:val="0"/>
              <w:pageBreakBefore w:val="0"/>
              <w:spacing w:line="324" w:lineRule="auto"/>
              <w:widowControl w:val="off"/>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t xml:space="preserve">各投标人如对项目招标活动有异议，应在法定时间内，以书面形式向</w:t>
            </w:r>
            <w:r>
              <w:rPr>
                <w:rFonts w:hint="eastAsia" w:ascii="宋体" w:hAnsi="宋体" w:eastAsia="宋体" w:cs="宋体"/>
                <w:color w:val="000000"/>
                <w:sz w:val="21"/>
                <w:szCs w:val="21"/>
                <w:highlight w:val="none"/>
              </w:rPr>
              <w:t xml:space="preserve">招标人（招标代理机构）</w:t>
            </w:r>
            <w:r>
              <w:rPr>
                <w:rFonts w:hint="eastAsia" w:ascii="宋体" w:hAnsi="宋体" w:eastAsia="宋体" w:cs="宋体"/>
                <w:color w:val="000000"/>
                <w:sz w:val="21"/>
                <w:szCs w:val="21"/>
                <w:highlight w:val="none"/>
              </w:rPr>
              <w:t xml:space="preserve">提出质疑，该质疑须按《政府采购质疑和投诉办法》（财政部94号令）、《江苏省政府采购供应商监督管理暂行办法》的规定提交。</w:t>
            </w:r>
            <w:r>
              <w:rPr>
                <w:rFonts w:hint="eastAsia" w:ascii="宋体" w:hAnsi="宋体" w:eastAsia="宋体" w:cs="宋体"/>
                <w:color w:val="000000"/>
                <w:sz w:val="21"/>
                <w:szCs w:val="21"/>
                <w:highlight w:val="none"/>
              </w:rPr>
              <w:t xml:space="preserve">招标人（招标代理机构）</w:t>
            </w:r>
            <w:r>
              <w:rPr>
                <w:rFonts w:hint="eastAsia" w:ascii="宋体" w:hAnsi="宋体" w:eastAsia="宋体" w:cs="宋体"/>
                <w:color w:val="000000"/>
                <w:sz w:val="21"/>
                <w:szCs w:val="21"/>
                <w:highlight w:val="none"/>
              </w:rPr>
              <w:t xml:space="preserve">将在收到质疑后七个工作日内，对质疑内容作出答复。</w:t>
            </w:r>
            <w:r>
              <w:rPr>
                <w:rFonts w:hint="eastAsia" w:ascii="宋体" w:hAnsi="宋体" w:eastAsia="宋体" w:cs="宋体"/>
                <w:color w:val="000000"/>
                <w:sz w:val="21"/>
                <w:szCs w:val="21"/>
                <w:highlight w:val="none"/>
              </w:rPr>
            </w:r>
            <w:r/>
          </w:p>
        </w:tc>
      </w:tr>
      <w:tr>
        <w:trPr>
          <w:trHeight w:val="454"/>
        </w:trPr>
        <w:tc>
          <w:tcPr>
            <w:tcW w:w="537" w:type="dxa"/>
            <w:vAlign w:val="center"/>
            <w:textDirection w:val="lrTb"/>
            <w:noWrap w:val="false"/>
          </w:tcPr>
          <w:p>
            <w:pPr>
              <w:pStyle w:val="801"/>
              <w:ind w:hanging="10"/>
              <w:jc w:val="center"/>
              <w:keepLines w:val="0"/>
              <w:keepNext w:val="0"/>
              <w:pageBreakBefore w:val="0"/>
              <w:spacing w:line="324" w:lineRule="auto"/>
              <w:widowControl w:val="off"/>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t xml:space="preserve">7</w:t>
            </w:r>
            <w:r>
              <w:rPr>
                <w:rFonts w:hint="eastAsia" w:ascii="宋体" w:hAnsi="宋体" w:eastAsia="宋体" w:cs="宋体"/>
                <w:color w:val="000000"/>
                <w:sz w:val="21"/>
                <w:szCs w:val="21"/>
                <w:highlight w:val="none"/>
              </w:rPr>
            </w:r>
            <w:r/>
          </w:p>
        </w:tc>
        <w:tc>
          <w:tcPr>
            <w:tcW w:w="1314" w:type="dxa"/>
            <w:vAlign w:val="center"/>
            <w:textDirection w:val="lrTb"/>
            <w:noWrap w:val="false"/>
          </w:tcPr>
          <w:p>
            <w:pPr>
              <w:pStyle w:val="801"/>
              <w:ind w:hanging="10"/>
              <w:jc w:val="center"/>
              <w:keepLines w:val="0"/>
              <w:keepNext w:val="0"/>
              <w:pageBreakBefore w:val="0"/>
              <w:spacing w:line="324" w:lineRule="auto"/>
              <w:widowControl w:val="off"/>
              <w:rPr>
                <w:rFonts w:hint="eastAsia" w:ascii="宋体" w:hAnsi="宋体" w:eastAsia="宋体" w:cs="宋体"/>
                <w:color w:val="000000"/>
                <w:sz w:val="21"/>
                <w:szCs w:val="21"/>
                <w:highlight w:val="none"/>
              </w:rPr>
              <w:framePr w:vAnchor="margin" w:hAnchor="page" w:xAlign="center" w:y="1"/>
            </w:pPr>
            <w:r/>
            <w:bookmarkStart w:id="115" w:name="_Toc38466023"/>
            <w:r/>
            <w:bookmarkStart w:id="116" w:name="_Toc9333227"/>
            <w:r/>
            <w:bookmarkStart w:id="117" w:name="_Toc9333274"/>
            <w:r>
              <w:rPr>
                <w:rFonts w:hint="eastAsia" w:ascii="宋体" w:hAnsi="宋体" w:eastAsia="宋体" w:cs="宋体"/>
                <w:color w:val="000000"/>
                <w:sz w:val="21"/>
                <w:szCs w:val="21"/>
                <w:highlight w:val="none"/>
              </w:rPr>
              <w:t xml:space="preserve">投标文件有效期</w:t>
            </w:r>
            <w:bookmarkEnd w:id="115"/>
            <w:r/>
            <w:bookmarkEnd w:id="116"/>
            <w:r/>
            <w:bookmarkEnd w:id="117"/>
            <w:r>
              <w:rPr>
                <w:rFonts w:hint="eastAsia" w:ascii="宋体" w:hAnsi="宋体" w:eastAsia="宋体" w:cs="宋体"/>
                <w:color w:val="000000"/>
                <w:sz w:val="21"/>
                <w:szCs w:val="21"/>
                <w:highlight w:val="none"/>
              </w:rPr>
            </w:r>
            <w:r/>
          </w:p>
        </w:tc>
        <w:tc>
          <w:tcPr>
            <w:tcW w:w="3148" w:type="dxa"/>
            <w:vAlign w:val="center"/>
            <w:textDirection w:val="lrTb"/>
            <w:noWrap w:val="false"/>
          </w:tcPr>
          <w:p>
            <w:pPr>
              <w:pStyle w:val="801"/>
              <w:ind w:hanging="10"/>
              <w:jc w:val="left"/>
              <w:keepLines w:val="0"/>
              <w:keepNext w:val="0"/>
              <w:pageBreakBefore w:val="0"/>
              <w:spacing w:line="324" w:lineRule="auto"/>
              <w:widowControl w:val="off"/>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t xml:space="preserve">90日</w:t>
            </w:r>
            <w:r>
              <w:rPr>
                <w:rFonts w:hint="eastAsia" w:ascii="宋体" w:hAnsi="宋体" w:eastAsia="宋体" w:cs="宋体"/>
                <w:color w:val="000000"/>
                <w:sz w:val="21"/>
                <w:szCs w:val="21"/>
                <w:highlight w:val="none"/>
              </w:rPr>
            </w:r>
            <w:r/>
          </w:p>
        </w:tc>
      </w:tr>
      <w:tr>
        <w:trPr>
          <w:trHeight w:val="454"/>
        </w:trPr>
        <w:tc>
          <w:tcPr>
            <w:tcW w:w="537" w:type="dxa"/>
            <w:vAlign w:val="center"/>
            <w:textDirection w:val="lrTb"/>
            <w:noWrap w:val="false"/>
          </w:tcPr>
          <w:p>
            <w:pPr>
              <w:pStyle w:val="801"/>
              <w:ind w:hanging="10"/>
              <w:jc w:val="center"/>
              <w:keepLines w:val="0"/>
              <w:keepNext w:val="0"/>
              <w:pageBreakBefore w:val="0"/>
              <w:spacing w:line="324" w:lineRule="auto"/>
              <w:widowControl w:val="off"/>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t xml:space="preserve">8</w:t>
            </w:r>
            <w:r>
              <w:rPr>
                <w:rFonts w:hint="eastAsia" w:ascii="宋体" w:hAnsi="宋体" w:eastAsia="宋体" w:cs="宋体"/>
                <w:color w:val="000000"/>
                <w:sz w:val="21"/>
                <w:szCs w:val="21"/>
                <w:highlight w:val="none"/>
              </w:rPr>
            </w:r>
            <w:r/>
          </w:p>
        </w:tc>
        <w:tc>
          <w:tcPr>
            <w:tcW w:w="1314" w:type="dxa"/>
            <w:vAlign w:val="center"/>
            <w:textDirection w:val="lrTb"/>
            <w:noWrap w:val="false"/>
          </w:tcPr>
          <w:p>
            <w:pPr>
              <w:pStyle w:val="801"/>
              <w:ind w:hanging="10"/>
              <w:jc w:val="center"/>
              <w:keepLines w:val="0"/>
              <w:keepNext w:val="0"/>
              <w:pageBreakBefore w:val="0"/>
              <w:spacing w:line="324" w:lineRule="auto"/>
              <w:widowControl w:val="off"/>
              <w:rPr>
                <w:rFonts w:hint="eastAsia" w:ascii="宋体" w:hAnsi="宋体" w:eastAsia="宋体" w:cs="宋体"/>
                <w:color w:val="000000"/>
                <w:sz w:val="21"/>
                <w:szCs w:val="21"/>
                <w:highlight w:val="none"/>
              </w:rPr>
              <w:framePr w:vAnchor="margin" w:hAnchor="page" w:xAlign="center" w:y="1"/>
            </w:pPr>
            <w:r/>
            <w:bookmarkStart w:id="118" w:name="_Toc38466024"/>
            <w:r/>
            <w:bookmarkStart w:id="119" w:name="_Toc9333275"/>
            <w:r/>
            <w:bookmarkStart w:id="120" w:name="_Toc9333228"/>
            <w:r>
              <w:rPr>
                <w:rFonts w:hint="eastAsia" w:ascii="宋体" w:hAnsi="宋体" w:eastAsia="宋体" w:cs="宋体"/>
                <w:color w:val="000000"/>
                <w:sz w:val="21"/>
                <w:szCs w:val="21"/>
                <w:highlight w:val="none"/>
              </w:rPr>
              <w:t xml:space="preserve">投标保证金</w:t>
            </w:r>
            <w:bookmarkEnd w:id="118"/>
            <w:r/>
            <w:bookmarkEnd w:id="119"/>
            <w:r/>
            <w:bookmarkEnd w:id="120"/>
            <w:r>
              <w:rPr>
                <w:rFonts w:hint="eastAsia" w:ascii="宋体" w:hAnsi="宋体" w:eastAsia="宋体" w:cs="宋体"/>
                <w:color w:val="000000"/>
                <w:sz w:val="21"/>
                <w:szCs w:val="21"/>
                <w:highlight w:val="none"/>
              </w:rPr>
            </w:r>
            <w:r/>
          </w:p>
        </w:tc>
        <w:tc>
          <w:tcPr>
            <w:tcW w:w="3148" w:type="dxa"/>
            <w:vAlign w:val="center"/>
            <w:textDirection w:val="lrTb"/>
            <w:noWrap w:val="false"/>
          </w:tcPr>
          <w:p>
            <w:pPr>
              <w:pStyle w:val="801"/>
              <w:ind w:hanging="10"/>
              <w:jc w:val="left"/>
              <w:keepLines w:val="0"/>
              <w:keepNext w:val="0"/>
              <w:pageBreakBefore w:val="0"/>
              <w:spacing w:line="324" w:lineRule="auto"/>
              <w:widowControl w:val="off"/>
              <w:rPr>
                <w:rFonts w:hint="eastAsia" w:ascii="宋体" w:hAnsi="宋体" w:eastAsia="宋体" w:cs="宋体"/>
                <w:b/>
                <w:color w:val="000000"/>
                <w:sz w:val="21"/>
                <w:szCs w:val="21"/>
                <w:highlight w:val="none"/>
              </w:rPr>
              <w:framePr w:vAnchor="margin" w:hAnchor="page" w:xAlign="center" w:y="1"/>
            </w:pPr>
            <w:r>
              <w:rPr>
                <w:rFonts w:hint="eastAsia" w:ascii="宋体" w:hAnsi="宋体" w:eastAsia="宋体" w:cs="宋体"/>
                <w:color w:val="000000"/>
                <w:sz w:val="21"/>
                <w:szCs w:val="21"/>
                <w:highlight w:val="none"/>
              </w:rPr>
              <w:t xml:space="preserve">不收取</w:t>
            </w:r>
            <w:r>
              <w:rPr>
                <w:rFonts w:hint="eastAsia" w:ascii="宋体" w:hAnsi="宋体" w:eastAsia="宋体" w:cs="宋体"/>
                <w:b/>
                <w:color w:val="000000"/>
                <w:sz w:val="21"/>
                <w:szCs w:val="21"/>
                <w:highlight w:val="none"/>
              </w:rPr>
            </w:r>
            <w:r/>
          </w:p>
        </w:tc>
      </w:tr>
      <w:tr>
        <w:trPr>
          <w:trHeight w:val="454"/>
        </w:trPr>
        <w:tc>
          <w:tcPr>
            <w:tcW w:w="537" w:type="dxa"/>
            <w:vAlign w:val="center"/>
            <w:textDirection w:val="lrTb"/>
            <w:noWrap w:val="false"/>
          </w:tcPr>
          <w:p>
            <w:pPr>
              <w:pStyle w:val="801"/>
              <w:ind w:hanging="10"/>
              <w:jc w:val="center"/>
              <w:keepLines w:val="0"/>
              <w:keepNext w:val="0"/>
              <w:pageBreakBefore w:val="0"/>
              <w:spacing w:line="324" w:lineRule="auto"/>
              <w:widowControl w:val="off"/>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t xml:space="preserve">9</w:t>
            </w:r>
            <w:r>
              <w:rPr>
                <w:rFonts w:hint="eastAsia" w:ascii="宋体" w:hAnsi="宋体" w:eastAsia="宋体" w:cs="宋体"/>
                <w:color w:val="000000"/>
                <w:sz w:val="21"/>
                <w:szCs w:val="21"/>
                <w:highlight w:val="none"/>
              </w:rPr>
            </w:r>
            <w:r/>
          </w:p>
        </w:tc>
        <w:tc>
          <w:tcPr>
            <w:tcW w:w="1314" w:type="dxa"/>
            <w:vAlign w:val="center"/>
            <w:textDirection w:val="lrTb"/>
            <w:noWrap w:val="false"/>
          </w:tcPr>
          <w:p>
            <w:pPr>
              <w:pStyle w:val="801"/>
              <w:ind w:hanging="10"/>
              <w:jc w:val="center"/>
              <w:keepLines w:val="0"/>
              <w:keepNext w:val="0"/>
              <w:pageBreakBefore w:val="0"/>
              <w:spacing w:line="324" w:lineRule="auto"/>
              <w:widowControl w:val="off"/>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t xml:space="preserve">投标文件的份数</w:t>
            </w:r>
            <w:r>
              <w:rPr>
                <w:rFonts w:hint="eastAsia" w:ascii="宋体" w:hAnsi="宋体" w:eastAsia="宋体" w:cs="宋体"/>
                <w:color w:val="000000"/>
                <w:sz w:val="21"/>
                <w:szCs w:val="21"/>
                <w:highlight w:val="none"/>
              </w:rPr>
            </w:r>
            <w:r/>
          </w:p>
        </w:tc>
        <w:tc>
          <w:tcPr>
            <w:tcW w:w="3148" w:type="dxa"/>
            <w:vAlign w:val="center"/>
            <w:textDirection w:val="lrTb"/>
            <w:noWrap w:val="false"/>
          </w:tcPr>
          <w:p>
            <w:pPr>
              <w:pStyle w:val="801"/>
              <w:ind w:hanging="10"/>
              <w:jc w:val="left"/>
              <w:keepLines w:val="0"/>
              <w:keepNext w:val="0"/>
              <w:pageBreakBefore w:val="0"/>
              <w:spacing w:line="324" w:lineRule="auto"/>
              <w:widowControl w:val="off"/>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t xml:space="preserve">电子响应文件壹份</w:t>
            </w:r>
            <w:r>
              <w:rPr>
                <w:rFonts w:hint="eastAsia" w:ascii="宋体" w:hAnsi="宋体" w:eastAsia="宋体" w:cs="宋体"/>
                <w:color w:val="000000"/>
                <w:sz w:val="21"/>
                <w:szCs w:val="21"/>
                <w:highlight w:val="none"/>
              </w:rPr>
            </w:r>
            <w:r/>
          </w:p>
        </w:tc>
      </w:tr>
      <w:tr>
        <w:trPr>
          <w:trHeight w:val="454"/>
        </w:trPr>
        <w:tc>
          <w:tcPr>
            <w:tcW w:w="537" w:type="dxa"/>
            <w:vAlign w:val="center"/>
            <w:textDirection w:val="lrTb"/>
            <w:noWrap w:val="false"/>
          </w:tcPr>
          <w:p>
            <w:pPr>
              <w:pStyle w:val="801"/>
              <w:ind w:hanging="10"/>
              <w:jc w:val="center"/>
              <w:keepLines w:val="0"/>
              <w:keepNext w:val="0"/>
              <w:pageBreakBefore w:val="0"/>
              <w:spacing w:line="324" w:lineRule="auto"/>
              <w:widowControl w:val="off"/>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t xml:space="preserve">10</w:t>
            </w:r>
            <w:r>
              <w:rPr>
                <w:rFonts w:hint="eastAsia" w:ascii="宋体" w:hAnsi="宋体" w:eastAsia="宋体" w:cs="宋体"/>
                <w:color w:val="000000"/>
                <w:sz w:val="21"/>
                <w:szCs w:val="21"/>
                <w:highlight w:val="none"/>
              </w:rPr>
            </w:r>
            <w:r/>
          </w:p>
        </w:tc>
        <w:tc>
          <w:tcPr>
            <w:tcW w:w="1314" w:type="dxa"/>
            <w:vAlign w:val="center"/>
            <w:textDirection w:val="lrTb"/>
            <w:noWrap w:val="false"/>
          </w:tcPr>
          <w:p>
            <w:pPr>
              <w:pStyle w:val="801"/>
              <w:ind w:hanging="10"/>
              <w:jc w:val="center"/>
              <w:keepLines w:val="0"/>
              <w:keepNext w:val="0"/>
              <w:pageBreakBefore w:val="0"/>
              <w:spacing w:line="324" w:lineRule="auto"/>
              <w:widowControl w:val="off"/>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t xml:space="preserve">投标文件的签署盖章</w:t>
            </w:r>
            <w:r>
              <w:rPr>
                <w:rFonts w:hint="eastAsia" w:ascii="宋体" w:hAnsi="宋体" w:eastAsia="宋体" w:cs="宋体"/>
                <w:color w:val="000000"/>
                <w:sz w:val="21"/>
                <w:szCs w:val="21"/>
                <w:highlight w:val="none"/>
              </w:rPr>
            </w:r>
            <w:r/>
          </w:p>
        </w:tc>
        <w:tc>
          <w:tcPr>
            <w:tcW w:w="3148" w:type="dxa"/>
            <w:vAlign w:val="center"/>
            <w:textDirection w:val="lrTb"/>
            <w:noWrap w:val="false"/>
          </w:tcPr>
          <w:p>
            <w:pPr>
              <w:pStyle w:val="801"/>
              <w:ind w:hanging="10"/>
              <w:jc w:val="left"/>
              <w:keepLines w:val="0"/>
              <w:keepNext w:val="0"/>
              <w:pageBreakBefore w:val="0"/>
              <w:spacing w:line="324" w:lineRule="auto"/>
              <w:widowControl w:val="off"/>
              <w:rPr>
                <w:rFonts w:hint="eastAsia" w:ascii="宋体" w:hAnsi="宋体" w:eastAsia="宋体" w:cs="宋体"/>
                <w:i/>
                <w:color w:val="000000"/>
                <w:sz w:val="21"/>
                <w:szCs w:val="21"/>
                <w:highlight w:val="none"/>
              </w:rPr>
              <w:framePr w:vAnchor="margin" w:hAnchor="page" w:xAlign="center" w:y="1"/>
            </w:pPr>
            <w:r>
              <w:rPr>
                <w:rFonts w:hint="eastAsia" w:ascii="宋体" w:hAnsi="宋体" w:eastAsia="宋体" w:cs="宋体"/>
                <w:b/>
                <w:bCs/>
                <w:iCs/>
                <w:color w:val="000000"/>
                <w:sz w:val="21"/>
                <w:szCs w:val="21"/>
                <w:highlight w:val="none"/>
              </w:rPr>
              <w:t xml:space="preserve">招标文件“投标文件格式”中要求盖单位章和（或）签字的地方均应使用CA数字证书加盖投标人的单位电子印章和（或）法定代表人的个人电子印章或电子签名章。</w:t>
            </w:r>
            <w:r>
              <w:rPr>
                <w:rFonts w:hint="eastAsia" w:ascii="宋体" w:hAnsi="宋体" w:eastAsia="宋体" w:cs="宋体"/>
                <w:i/>
                <w:color w:val="000000"/>
                <w:sz w:val="21"/>
                <w:szCs w:val="21"/>
                <w:highlight w:val="none"/>
              </w:rPr>
            </w:r>
            <w:r/>
          </w:p>
        </w:tc>
      </w:tr>
      <w:tr>
        <w:trPr>
          <w:trHeight w:val="454"/>
        </w:trPr>
        <w:tc>
          <w:tcPr>
            <w:tcW w:w="537" w:type="dxa"/>
            <w:vAlign w:val="center"/>
            <w:textDirection w:val="lrTb"/>
            <w:noWrap w:val="false"/>
          </w:tcPr>
          <w:p>
            <w:pPr>
              <w:pStyle w:val="801"/>
              <w:ind w:hanging="10"/>
              <w:jc w:val="center"/>
              <w:keepLines w:val="0"/>
              <w:keepNext w:val="0"/>
              <w:pageBreakBefore w:val="0"/>
              <w:spacing w:line="324" w:lineRule="auto"/>
              <w:widowControl w:val="off"/>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t xml:space="preserve">11</w:t>
            </w:r>
            <w:r>
              <w:rPr>
                <w:rFonts w:hint="eastAsia" w:ascii="宋体" w:hAnsi="宋体" w:eastAsia="宋体" w:cs="宋体"/>
                <w:color w:val="000000"/>
                <w:sz w:val="21"/>
                <w:szCs w:val="21"/>
                <w:highlight w:val="none"/>
              </w:rPr>
            </w:r>
            <w:r/>
          </w:p>
        </w:tc>
        <w:tc>
          <w:tcPr>
            <w:tcW w:w="1314" w:type="dxa"/>
            <w:vAlign w:val="center"/>
            <w:textDirection w:val="lrTb"/>
            <w:noWrap w:val="false"/>
          </w:tcPr>
          <w:p>
            <w:pPr>
              <w:pStyle w:val="801"/>
              <w:ind w:hanging="10"/>
              <w:jc w:val="center"/>
              <w:keepLines w:val="0"/>
              <w:keepNext w:val="0"/>
              <w:pageBreakBefore w:val="0"/>
              <w:spacing w:line="324" w:lineRule="auto"/>
              <w:widowControl w:val="off"/>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t xml:space="preserve">推荐的中标候选人数量</w:t>
            </w:r>
            <w:r>
              <w:rPr>
                <w:rFonts w:hint="eastAsia" w:ascii="宋体" w:hAnsi="宋体" w:eastAsia="宋体" w:cs="宋体"/>
                <w:color w:val="000000"/>
                <w:sz w:val="21"/>
                <w:szCs w:val="21"/>
                <w:highlight w:val="none"/>
              </w:rPr>
            </w:r>
            <w:r/>
          </w:p>
        </w:tc>
        <w:tc>
          <w:tcPr>
            <w:tcW w:w="3148" w:type="dxa"/>
            <w:vAlign w:val="center"/>
            <w:textDirection w:val="lrTb"/>
            <w:noWrap w:val="false"/>
          </w:tcPr>
          <w:p>
            <w:pPr>
              <w:pStyle w:val="801"/>
              <w:ind w:hanging="10"/>
              <w:jc w:val="left"/>
              <w:keepLines w:val="0"/>
              <w:keepNext w:val="0"/>
              <w:pageBreakBefore w:val="0"/>
              <w:spacing w:line="324" w:lineRule="auto"/>
              <w:widowControl w:val="off"/>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t xml:space="preserve">不超过 3 名</w:t>
            </w:r>
            <w:r>
              <w:rPr>
                <w:rFonts w:hint="eastAsia" w:ascii="宋体" w:hAnsi="宋体" w:eastAsia="宋体" w:cs="宋体"/>
                <w:color w:val="000000"/>
                <w:sz w:val="21"/>
                <w:szCs w:val="21"/>
                <w:highlight w:val="none"/>
              </w:rPr>
            </w:r>
            <w:r/>
          </w:p>
        </w:tc>
      </w:tr>
      <w:tr>
        <w:trPr>
          <w:trHeight w:val="454"/>
        </w:trPr>
        <w:tc>
          <w:tcPr>
            <w:tcW w:w="537" w:type="dxa"/>
            <w:vAlign w:val="center"/>
            <w:textDirection w:val="lrTb"/>
            <w:noWrap w:val="false"/>
          </w:tcPr>
          <w:p>
            <w:pPr>
              <w:pStyle w:val="801"/>
              <w:ind w:hanging="10"/>
              <w:jc w:val="center"/>
              <w:keepLines w:val="0"/>
              <w:keepNext w:val="0"/>
              <w:pageBreakBefore w:val="0"/>
              <w:spacing w:line="324" w:lineRule="auto"/>
              <w:widowControl w:val="off"/>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t xml:space="preserve">12</w:t>
            </w:r>
            <w:r>
              <w:rPr>
                <w:rFonts w:hint="eastAsia" w:ascii="宋体" w:hAnsi="宋体" w:eastAsia="宋体" w:cs="宋体"/>
                <w:color w:val="000000"/>
                <w:sz w:val="21"/>
                <w:szCs w:val="21"/>
                <w:highlight w:val="none"/>
              </w:rPr>
            </w:r>
            <w:r/>
          </w:p>
        </w:tc>
        <w:tc>
          <w:tcPr>
            <w:tcW w:w="1314" w:type="dxa"/>
            <w:vAlign w:val="center"/>
            <w:textDirection w:val="lrTb"/>
            <w:noWrap w:val="false"/>
          </w:tcPr>
          <w:p>
            <w:pPr>
              <w:pStyle w:val="801"/>
              <w:ind w:hanging="10"/>
              <w:jc w:val="center"/>
              <w:keepLines w:val="0"/>
              <w:keepNext w:val="0"/>
              <w:pageBreakBefore w:val="0"/>
              <w:spacing w:line="324" w:lineRule="auto"/>
              <w:widowControl w:val="off"/>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t xml:space="preserve">确定中标人方式</w:t>
            </w:r>
            <w:r>
              <w:rPr>
                <w:rFonts w:hint="eastAsia" w:ascii="宋体" w:hAnsi="宋体" w:eastAsia="宋体" w:cs="宋体"/>
                <w:color w:val="000000"/>
                <w:sz w:val="21"/>
                <w:szCs w:val="21"/>
                <w:highlight w:val="none"/>
              </w:rPr>
            </w:r>
            <w:r/>
          </w:p>
        </w:tc>
        <w:tc>
          <w:tcPr>
            <w:tcW w:w="3148" w:type="dxa"/>
            <w:vAlign w:val="center"/>
            <w:textDirection w:val="lrTb"/>
            <w:noWrap w:val="false"/>
          </w:tcPr>
          <w:p>
            <w:pPr>
              <w:pStyle w:val="801"/>
              <w:ind w:hanging="10"/>
              <w:jc w:val="left"/>
              <w:keepLines w:val="0"/>
              <w:keepNext w:val="0"/>
              <w:pageBreakBefore w:val="0"/>
              <w:spacing w:line="324" w:lineRule="auto"/>
              <w:widowControl w:val="off"/>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t xml:space="preserve">招标人</w:t>
            </w:r>
            <w:r>
              <w:rPr>
                <w:rFonts w:hint="eastAsia" w:ascii="宋体" w:hAnsi="宋体" w:eastAsia="宋体" w:cs="宋体"/>
                <w:color w:val="000000"/>
                <w:sz w:val="21"/>
                <w:szCs w:val="21"/>
                <w:highlight w:val="none"/>
              </w:rPr>
            </w:r>
            <w:r/>
          </w:p>
        </w:tc>
      </w:tr>
      <w:tr>
        <w:trPr>
          <w:trHeight w:val="90"/>
        </w:trPr>
        <w:tc>
          <w:tcPr>
            <w:tcW w:w="537" w:type="dxa"/>
            <w:vAlign w:val="center"/>
            <w:textDirection w:val="lrTb"/>
            <w:noWrap w:val="false"/>
          </w:tcPr>
          <w:p>
            <w:pPr>
              <w:pStyle w:val="801"/>
              <w:ind w:hanging="10"/>
              <w:jc w:val="center"/>
              <w:keepLines w:val="0"/>
              <w:keepNext w:val="0"/>
              <w:pageBreakBefore w:val="0"/>
              <w:spacing w:line="324" w:lineRule="auto"/>
              <w:widowControl w:val="off"/>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t xml:space="preserve">13</w:t>
            </w:r>
            <w:r>
              <w:rPr>
                <w:rFonts w:hint="eastAsia" w:ascii="宋体" w:hAnsi="宋体" w:eastAsia="宋体" w:cs="宋体"/>
                <w:color w:val="000000"/>
                <w:sz w:val="21"/>
                <w:szCs w:val="21"/>
                <w:highlight w:val="none"/>
              </w:rPr>
            </w:r>
            <w:r/>
          </w:p>
        </w:tc>
        <w:tc>
          <w:tcPr>
            <w:tcW w:w="1314" w:type="dxa"/>
            <w:vAlign w:val="center"/>
            <w:textDirection w:val="lrTb"/>
            <w:noWrap w:val="false"/>
          </w:tcPr>
          <w:p>
            <w:pPr>
              <w:pStyle w:val="801"/>
              <w:ind w:hanging="10"/>
              <w:jc w:val="center"/>
              <w:keepLines w:val="0"/>
              <w:keepNext w:val="0"/>
              <w:pageBreakBefore w:val="0"/>
              <w:spacing w:line="324" w:lineRule="auto"/>
              <w:widowControl w:val="off"/>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t xml:space="preserve">履约保证金</w:t>
            </w:r>
            <w:r>
              <w:rPr>
                <w:rFonts w:hint="eastAsia" w:ascii="宋体" w:hAnsi="宋体" w:eastAsia="宋体" w:cs="宋体"/>
                <w:color w:val="000000"/>
                <w:sz w:val="21"/>
                <w:szCs w:val="21"/>
                <w:highlight w:val="none"/>
              </w:rPr>
            </w:r>
            <w:r/>
          </w:p>
        </w:tc>
        <w:tc>
          <w:tcPr>
            <w:tcW w:w="3148" w:type="dxa"/>
            <w:vAlign w:val="center"/>
            <w:textDirection w:val="lrTb"/>
            <w:noWrap w:val="false"/>
          </w:tcPr>
          <w:p>
            <w:pPr>
              <w:pStyle w:val="801"/>
              <w:ind w:hanging="10"/>
              <w:jc w:val="left"/>
              <w:keepLines w:val="0"/>
              <w:keepNext w:val="0"/>
              <w:pageBreakBefore w:val="0"/>
              <w:spacing w:line="324" w:lineRule="auto"/>
              <w:widowControl w:val="off"/>
              <w:rPr>
                <w:rFonts w:hint="eastAsia" w:ascii="宋体" w:hAnsi="宋体" w:eastAsia="宋体" w:cs="宋体"/>
                <w:bCs/>
                <w:color w:val="000000"/>
                <w:sz w:val="21"/>
                <w:szCs w:val="21"/>
                <w:highlight w:val="none"/>
              </w:rPr>
              <w:framePr w:vAnchor="margin" w:hAnchor="page" w:xAlign="center" w:y="1"/>
            </w:pPr>
            <w:r>
              <w:rPr>
                <w:rFonts w:hint="eastAsia" w:ascii="宋体" w:hAnsi="宋体" w:eastAsia="宋体" w:cs="宋体"/>
                <w:bCs/>
                <w:color w:val="000000"/>
                <w:sz w:val="21"/>
                <w:szCs w:val="21"/>
                <w:highlight w:val="none"/>
              </w:rPr>
              <w:t xml:space="preserve">合同签订前，中标人应向发包人</w:t>
            </w:r>
            <w:r>
              <w:rPr>
                <w:rFonts w:hint="eastAsia" w:ascii="宋体" w:hAnsi="宋体" w:eastAsia="宋体" w:cs="宋体"/>
                <w:bCs/>
                <w:color w:val="000000"/>
                <w:sz w:val="21"/>
                <w:szCs w:val="21"/>
                <w:highlight w:val="none"/>
                <w:u w:val="single"/>
              </w:rPr>
              <w:t xml:space="preserve"> 苏北航务管理处扬州航务中心 </w:t>
            </w:r>
            <w:r>
              <w:rPr>
                <w:rFonts w:hint="eastAsia" w:ascii="宋体" w:hAnsi="宋体" w:eastAsia="宋体" w:cs="宋体"/>
                <w:bCs/>
                <w:color w:val="000000"/>
                <w:sz w:val="21"/>
                <w:szCs w:val="21"/>
                <w:highlight w:val="none"/>
              </w:rPr>
              <w:t xml:space="preserve">缴纳10%签约合同价的履约保证金。</w:t>
            </w:r>
            <w:r>
              <w:rPr>
                <w:rFonts w:hint="eastAsia" w:ascii="宋体" w:hAnsi="宋体" w:eastAsia="宋体" w:cs="宋体"/>
                <w:bCs/>
                <w:color w:val="000000"/>
                <w:sz w:val="21"/>
                <w:szCs w:val="21"/>
                <w:highlight w:val="none"/>
              </w:rPr>
            </w:r>
            <w:r/>
          </w:p>
          <w:p>
            <w:pPr>
              <w:pStyle w:val="801"/>
              <w:ind w:hanging="10"/>
              <w:jc w:val="left"/>
              <w:keepLines w:val="0"/>
              <w:keepNext w:val="0"/>
              <w:pageBreakBefore w:val="0"/>
              <w:spacing w:line="324" w:lineRule="auto"/>
              <w:widowControl w:val="off"/>
              <w:rPr>
                <w:rFonts w:hint="eastAsia" w:ascii="宋体" w:hAnsi="宋体" w:eastAsia="宋体" w:cs="宋体"/>
                <w:bCs/>
                <w:color w:val="000000"/>
                <w:sz w:val="21"/>
                <w:szCs w:val="21"/>
                <w:highlight w:val="none"/>
              </w:rPr>
              <w:framePr w:vAnchor="margin" w:hAnchor="page" w:xAlign="center" w:y="1"/>
            </w:pPr>
            <w:r>
              <w:rPr>
                <w:rFonts w:hint="eastAsia" w:ascii="宋体" w:hAnsi="宋体" w:eastAsia="宋体" w:cs="宋体"/>
                <w:bCs/>
                <w:color w:val="000000"/>
                <w:sz w:val="21"/>
                <w:szCs w:val="21"/>
                <w:highlight w:val="none"/>
              </w:rPr>
              <w:t xml:space="preserve">履约保证金的形式：银行保函或现金（电汇或银行汇票形式）等。采用银行保函时，出具保函的银行须具有相应担保能力，且按照招标人批准的格式出具，所需费用由中标人承担。</w:t>
            </w:r>
            <w:r>
              <w:rPr>
                <w:rFonts w:hint="eastAsia" w:ascii="宋体" w:hAnsi="宋体" w:eastAsia="宋体" w:cs="宋体"/>
                <w:bCs/>
                <w:color w:val="000000"/>
                <w:sz w:val="21"/>
                <w:szCs w:val="21"/>
                <w:highlight w:val="none"/>
              </w:rPr>
            </w:r>
            <w:r/>
          </w:p>
          <w:p>
            <w:pPr>
              <w:pStyle w:val="801"/>
              <w:ind w:hanging="10"/>
              <w:jc w:val="left"/>
              <w:keepLines w:val="0"/>
              <w:keepNext w:val="0"/>
              <w:pageBreakBefore w:val="0"/>
              <w:spacing w:line="324" w:lineRule="auto"/>
              <w:widowControl w:val="off"/>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bCs/>
                <w:color w:val="000000"/>
                <w:sz w:val="21"/>
                <w:szCs w:val="21"/>
                <w:highlight w:val="none"/>
              </w:rPr>
              <w:t xml:space="preserve">履约保证金的退还方式、时间等详见专用合同条款。</w:t>
            </w:r>
            <w:r>
              <w:rPr>
                <w:rFonts w:hint="eastAsia" w:ascii="宋体" w:hAnsi="宋体" w:eastAsia="宋体" w:cs="宋体"/>
                <w:color w:val="000000"/>
                <w:sz w:val="21"/>
                <w:szCs w:val="21"/>
                <w:highlight w:val="none"/>
              </w:rPr>
            </w:r>
            <w:r/>
          </w:p>
        </w:tc>
      </w:tr>
      <w:tr>
        <w:trPr>
          <w:trHeight w:val="454"/>
        </w:trPr>
        <w:tc>
          <w:tcPr>
            <w:tcW w:w="537" w:type="dxa"/>
            <w:vAlign w:val="center"/>
            <w:textDirection w:val="lrTb"/>
            <w:noWrap w:val="false"/>
          </w:tcPr>
          <w:p>
            <w:pPr>
              <w:pStyle w:val="801"/>
              <w:ind w:hanging="10"/>
              <w:jc w:val="center"/>
              <w:keepLines w:val="0"/>
              <w:keepNext w:val="0"/>
              <w:pageBreakBefore w:val="0"/>
              <w:spacing w:line="324" w:lineRule="auto"/>
              <w:widowControl w:val="off"/>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t xml:space="preserve">14</w:t>
            </w:r>
            <w:r>
              <w:rPr>
                <w:rFonts w:hint="eastAsia" w:ascii="宋体" w:hAnsi="宋体" w:eastAsia="宋体" w:cs="宋体"/>
                <w:color w:val="000000"/>
                <w:sz w:val="21"/>
                <w:szCs w:val="21"/>
                <w:highlight w:val="none"/>
              </w:rPr>
            </w:r>
            <w:r/>
          </w:p>
        </w:tc>
        <w:tc>
          <w:tcPr>
            <w:tcW w:w="1314" w:type="dxa"/>
            <w:vAlign w:val="center"/>
            <w:textDirection w:val="lrTb"/>
            <w:noWrap w:val="false"/>
          </w:tcPr>
          <w:p>
            <w:pPr>
              <w:pStyle w:val="801"/>
              <w:ind w:hanging="10"/>
              <w:jc w:val="center"/>
              <w:keepLines w:val="0"/>
              <w:keepNext w:val="0"/>
              <w:pageBreakBefore w:val="0"/>
              <w:spacing w:line="324" w:lineRule="auto"/>
              <w:widowControl w:val="off"/>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t xml:space="preserve">评标小组成员</w:t>
            </w:r>
            <w:r>
              <w:rPr>
                <w:rFonts w:hint="eastAsia" w:ascii="宋体" w:hAnsi="宋体" w:eastAsia="宋体" w:cs="宋体"/>
                <w:color w:val="000000"/>
                <w:sz w:val="21"/>
                <w:szCs w:val="21"/>
                <w:highlight w:val="none"/>
              </w:rPr>
            </w:r>
            <w:r/>
          </w:p>
        </w:tc>
        <w:tc>
          <w:tcPr>
            <w:tcW w:w="3148" w:type="dxa"/>
            <w:vAlign w:val="center"/>
            <w:textDirection w:val="lrTb"/>
            <w:noWrap w:val="false"/>
          </w:tcPr>
          <w:p>
            <w:pPr>
              <w:pStyle w:val="801"/>
              <w:ind w:hanging="10"/>
              <w:jc w:val="left"/>
              <w:keepLines w:val="0"/>
              <w:keepNext w:val="0"/>
              <w:pageBreakBefore w:val="0"/>
              <w:spacing w:line="324" w:lineRule="auto"/>
              <w:widowControl w:val="off"/>
              <w:rPr>
                <w:rFonts w:hint="eastAsia" w:ascii="宋体" w:hAnsi="宋体" w:eastAsia="宋体" w:cs="宋体"/>
                <w:bCs/>
                <w:color w:val="000000"/>
                <w:sz w:val="21"/>
                <w:szCs w:val="21"/>
                <w:highlight w:val="none"/>
              </w:rPr>
              <w:framePr w:vAnchor="margin" w:hAnchor="page" w:xAlign="center" w:y="1"/>
            </w:pPr>
            <w:r>
              <w:rPr>
                <w:rFonts w:hint="eastAsia" w:ascii="宋体" w:hAnsi="宋体" w:eastAsia="宋体" w:cs="宋体"/>
                <w:color w:val="000000"/>
                <w:sz w:val="21"/>
                <w:szCs w:val="21"/>
                <w:highlight w:val="none"/>
              </w:rPr>
              <w:t xml:space="preserve">评标小组成员为5人或5人以上单数，评标专家人数不得少于评标小组成员总数的2/3。</w:t>
            </w:r>
            <w:r>
              <w:rPr>
                <w:rFonts w:hint="eastAsia" w:ascii="宋体" w:hAnsi="宋体" w:eastAsia="宋体" w:cs="宋体"/>
                <w:bCs/>
                <w:color w:val="000000"/>
                <w:sz w:val="21"/>
                <w:szCs w:val="21"/>
                <w:highlight w:val="none"/>
              </w:rPr>
            </w:r>
            <w:r/>
          </w:p>
        </w:tc>
      </w:tr>
      <w:tr>
        <w:trPr>
          <w:trHeight w:val="454"/>
        </w:trPr>
        <w:tc>
          <w:tcPr>
            <w:tcW w:w="537" w:type="dxa"/>
            <w:vAlign w:val="center"/>
            <w:textDirection w:val="lrTb"/>
            <w:noWrap w:val="false"/>
          </w:tcPr>
          <w:p>
            <w:pPr>
              <w:pStyle w:val="801"/>
              <w:ind w:hanging="10"/>
              <w:jc w:val="center"/>
              <w:keepLines w:val="0"/>
              <w:keepNext w:val="0"/>
              <w:pageBreakBefore w:val="0"/>
              <w:spacing w:before="157" w:line="300" w:lineRule="auto"/>
              <w:widowControl w:val="off"/>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t xml:space="preserve">15</w:t>
            </w:r>
            <w:r>
              <w:rPr>
                <w:rFonts w:hint="eastAsia" w:ascii="宋体" w:hAnsi="宋体" w:eastAsia="宋体" w:cs="宋体"/>
                <w:color w:val="000000"/>
                <w:sz w:val="21"/>
                <w:szCs w:val="21"/>
                <w:highlight w:val="none"/>
              </w:rPr>
            </w:r>
            <w:r/>
          </w:p>
        </w:tc>
        <w:tc>
          <w:tcPr>
            <w:gridSpan w:val="2"/>
            <w:tcW w:w="8157" w:type="dxa"/>
            <w:vAlign w:val="center"/>
            <w:textDirection w:val="lrTb"/>
            <w:noWrap w:val="false"/>
          </w:tcPr>
          <w:p>
            <w:pPr>
              <w:pStyle w:val="801"/>
              <w:ind w:hanging="10"/>
              <w:keepLines w:val="0"/>
              <w:keepNext w:val="0"/>
              <w:pageBreakBefore w:val="0"/>
              <w:spacing w:before="157" w:line="300" w:lineRule="auto"/>
              <w:widowControl w:val="off"/>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t xml:space="preserve">其他</w:t>
            </w:r>
            <w:r>
              <w:rPr>
                <w:rFonts w:hint="eastAsia" w:ascii="宋体" w:hAnsi="宋体" w:eastAsia="宋体" w:cs="宋体"/>
                <w:color w:val="000000"/>
                <w:sz w:val="21"/>
                <w:szCs w:val="21"/>
                <w:highlight w:val="none"/>
              </w:rPr>
            </w:r>
            <w:r/>
          </w:p>
        </w:tc>
      </w:tr>
      <w:tr>
        <w:trPr>
          <w:trHeight w:val="239"/>
        </w:trPr>
        <w:tc>
          <w:tcPr>
            <w:tcW w:w="537" w:type="dxa"/>
            <w:vAlign w:val="center"/>
            <w:textDirection w:val="lrTb"/>
            <w:noWrap w:val="false"/>
          </w:tcPr>
          <w:p>
            <w:pPr>
              <w:pStyle w:val="801"/>
              <w:ind w:hanging="10"/>
              <w:jc w:val="center"/>
              <w:keepLines w:val="0"/>
              <w:keepNext w:val="0"/>
              <w:pageBreakBefore w:val="0"/>
              <w:spacing w:before="157" w:line="300" w:lineRule="auto"/>
              <w:widowControl w:val="off"/>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r>
            <w:r/>
          </w:p>
          <w:p>
            <w:pPr>
              <w:pStyle w:val="801"/>
              <w:ind w:hanging="10"/>
              <w:jc w:val="center"/>
              <w:keepLines w:val="0"/>
              <w:keepNext w:val="0"/>
              <w:pageBreakBefore w:val="0"/>
              <w:spacing w:before="157" w:line="300" w:lineRule="auto"/>
              <w:widowControl w:val="off"/>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t xml:space="preserve">15.1</w:t>
            </w:r>
            <w:r>
              <w:rPr>
                <w:rFonts w:hint="eastAsia" w:ascii="宋体" w:hAnsi="宋体" w:eastAsia="宋体" w:cs="宋体"/>
                <w:color w:val="000000"/>
                <w:sz w:val="21"/>
                <w:szCs w:val="21"/>
                <w:highlight w:val="none"/>
              </w:rPr>
            </w:r>
            <w:r/>
          </w:p>
        </w:tc>
        <w:tc>
          <w:tcPr>
            <w:gridSpan w:val="2"/>
            <w:tcW w:w="8157" w:type="dxa"/>
            <w:vAlign w:val="center"/>
            <w:textDirection w:val="lrTb"/>
            <w:noWrap w:val="false"/>
          </w:tcPr>
          <w:p>
            <w:pPr>
              <w:pStyle w:val="801"/>
              <w:ind w:hanging="10"/>
              <w:keepLines w:val="0"/>
              <w:keepNext w:val="0"/>
              <w:pageBreakBefore w:val="0"/>
              <w:spacing w:before="95" w:line="312" w:lineRule="auto"/>
              <w:widowControl w:val="off"/>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t xml:space="preserve">报价说明：</w:t>
            </w:r>
            <w:r>
              <w:rPr>
                <w:rFonts w:hint="eastAsia" w:ascii="宋体" w:hAnsi="宋体" w:eastAsia="宋体" w:cs="宋体"/>
                <w:color w:val="000000"/>
                <w:sz w:val="21"/>
                <w:szCs w:val="21"/>
                <w:highlight w:val="none"/>
              </w:rPr>
            </w:r>
            <w:r/>
          </w:p>
          <w:p>
            <w:pPr>
              <w:pStyle w:val="801"/>
              <w:ind w:firstLine="420"/>
              <w:keepLines w:val="0"/>
              <w:keepNext w:val="0"/>
              <w:pageBreakBefore w:val="0"/>
              <w:spacing w:before="95" w:line="312" w:lineRule="auto"/>
              <w:widowControl w:val="off"/>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t xml:space="preserve">⑴招标人设有最高投标限价人民币</w:t>
            </w:r>
            <w:r>
              <w:rPr>
                <w:rFonts w:hint="eastAsia" w:ascii="宋体" w:hAnsi="宋体" w:eastAsia="宋体" w:cs="宋体"/>
                <w:b w:val="0"/>
                <w:bCs w:val="0"/>
                <w:color w:val="000000"/>
                <w:sz w:val="21"/>
                <w:szCs w:val="21"/>
                <w:highlight w:val="none"/>
              </w:rPr>
              <w:t xml:space="preserve">9</w:t>
            </w:r>
            <w:r>
              <w:rPr>
                <w:rFonts w:hint="eastAsia" w:ascii="宋体" w:hAnsi="宋体" w:eastAsia="宋体" w:cs="宋体"/>
                <w:b w:val="0"/>
                <w:bCs w:val="0"/>
                <w:color w:val="000000"/>
                <w:sz w:val="21"/>
                <w:szCs w:val="21"/>
                <w:highlight w:val="none"/>
                <w:lang w:val="en-US" w:eastAsia="zh-CN"/>
              </w:rPr>
              <w:t xml:space="preserve">60</w:t>
            </w:r>
            <w:r>
              <w:rPr>
                <w:rFonts w:hint="eastAsia" w:ascii="宋体" w:hAnsi="宋体" w:eastAsia="宋体" w:cs="宋体"/>
                <w:b w:val="0"/>
                <w:bCs w:val="0"/>
                <w:color w:val="000000"/>
                <w:sz w:val="21"/>
                <w:szCs w:val="21"/>
                <w:highlight w:val="none"/>
              </w:rPr>
              <w:t xml:space="preserve">万元</w:t>
            </w:r>
            <w:r>
              <w:rPr>
                <w:rFonts w:hint="eastAsia" w:ascii="宋体" w:hAnsi="宋体" w:eastAsia="宋体" w:cs="宋体"/>
                <w:b w:val="0"/>
                <w:bCs w:val="0"/>
                <w:color w:val="000000"/>
                <w:sz w:val="21"/>
                <w:szCs w:val="21"/>
                <w:highlight w:val="none"/>
                <w:lang w:val="en-US" w:eastAsia="zh-CN"/>
              </w:rPr>
              <w:t xml:space="preserve">(其中包括暂列金30万元、</w:t>
            </w:r>
            <w:r>
              <w:rPr>
                <w:rFonts w:hint="eastAsia" w:ascii="宋体" w:hAnsi="宋体" w:eastAsia="宋体" w:cs="宋体"/>
                <w:color w:val="000000"/>
                <w:sz w:val="21"/>
                <w:szCs w:val="21"/>
                <w:highlight w:val="none"/>
              </w:rPr>
              <w:t xml:space="preserve">安全生产费</w:t>
            </w:r>
            <w:r>
              <w:rPr>
                <w:rFonts w:hint="eastAsia" w:ascii="宋体" w:hAnsi="宋体" w:eastAsia="宋体" w:cs="宋体"/>
                <w:color w:val="000000"/>
                <w:sz w:val="21"/>
                <w:szCs w:val="21"/>
                <w:highlight w:val="none"/>
                <w:lang w:val="en-US" w:eastAsia="zh-CN"/>
              </w:rPr>
              <w:t xml:space="preserve">19.2万元</w:t>
            </w:r>
            <w:r>
              <w:rPr>
                <w:rFonts w:hint="eastAsia" w:ascii="宋体" w:hAnsi="宋体" w:eastAsia="宋体" w:cs="宋体"/>
                <w:color w:val="000000"/>
                <w:sz w:val="21"/>
                <w:szCs w:val="21"/>
                <w:highlight w:val="none"/>
              </w:rPr>
              <w:t xml:space="preserve">以及招标文件中要求的各项费用）。</w:t>
            </w:r>
            <w:r>
              <w:rPr>
                <w:rFonts w:hint="eastAsia" w:ascii="宋体" w:hAnsi="宋体" w:eastAsia="宋体" w:cs="宋体"/>
                <w:color w:val="000000"/>
                <w:sz w:val="21"/>
                <w:szCs w:val="21"/>
                <w:highlight w:val="none"/>
              </w:rPr>
            </w:r>
            <w:r/>
          </w:p>
          <w:p>
            <w:pPr>
              <w:pStyle w:val="801"/>
              <w:ind w:firstLine="420"/>
              <w:keepLines w:val="0"/>
              <w:keepNext w:val="0"/>
              <w:pageBreakBefore w:val="0"/>
              <w:spacing w:before="95" w:line="312" w:lineRule="auto"/>
              <w:widowControl w:val="off"/>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t xml:space="preserve">投标人的投标报价超过上述最高投标限价的（不含上限值），作否决投标处理。</w:t>
            </w:r>
            <w:r>
              <w:rPr>
                <w:rFonts w:hint="eastAsia" w:ascii="宋体" w:hAnsi="宋体" w:eastAsia="宋体" w:cs="宋体"/>
                <w:color w:val="000000"/>
                <w:sz w:val="21"/>
                <w:szCs w:val="21"/>
                <w:highlight w:val="none"/>
              </w:rPr>
            </w:r>
            <w:r/>
          </w:p>
          <w:p>
            <w:pPr>
              <w:pStyle w:val="801"/>
              <w:ind w:firstLine="422"/>
              <w:keepLines w:val="0"/>
              <w:keepNext w:val="0"/>
              <w:pageBreakBefore w:val="0"/>
              <w:spacing w:before="95" w:line="312" w:lineRule="auto"/>
              <w:widowControl w:val="off"/>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b/>
                <w:bCs/>
                <w:color w:val="000000"/>
                <w:sz w:val="21"/>
                <w:szCs w:val="21"/>
                <w:highlight w:val="none"/>
              </w:rPr>
              <w:t xml:space="preserve">⑵本项目采用固定单价合同方式</w:t>
            </w:r>
            <w:r>
              <w:rPr>
                <w:rFonts w:hint="eastAsia" w:ascii="宋体" w:hAnsi="宋体" w:eastAsia="宋体" w:cs="宋体"/>
                <w:color w:val="000000"/>
                <w:sz w:val="21"/>
                <w:szCs w:val="21"/>
                <w:highlight w:val="none"/>
              </w:rPr>
              <w:t xml:space="preserve">。投标人的投标报价，应是本项目招标范围内其所投标段的全部工程的报价，并以投标人</w:t>
            </w:r>
            <w:r>
              <w:rPr>
                <w:rFonts w:hint="eastAsia" w:ascii="宋体" w:hAnsi="宋体" w:eastAsia="宋体" w:cs="宋体"/>
                <w:b w:val="0"/>
                <w:bCs w:val="0"/>
                <w:color w:val="000000"/>
                <w:sz w:val="21"/>
                <w:szCs w:val="21"/>
                <w:highlight w:val="none"/>
              </w:rPr>
              <w:t xml:space="preserve">在</w:t>
            </w:r>
            <w:r>
              <w:rPr>
                <w:rFonts w:hint="eastAsia" w:ascii="宋体" w:hAnsi="宋体" w:eastAsia="宋体" w:cs="宋体"/>
                <w:b w:val="0"/>
                <w:bCs w:val="0"/>
                <w:color w:val="000000"/>
                <w:sz w:val="21"/>
                <w:szCs w:val="21"/>
                <w:highlight w:val="none"/>
                <w:lang w:val="en-US" w:eastAsia="zh-CN"/>
              </w:rPr>
              <w:t xml:space="preserve">全费用</w:t>
            </w:r>
            <w:r>
              <w:rPr>
                <w:rFonts w:hint="eastAsia" w:ascii="宋体" w:hAnsi="宋体" w:eastAsia="宋体" w:cs="宋体"/>
                <w:b w:val="0"/>
                <w:bCs w:val="0"/>
                <w:color w:val="000000"/>
                <w:sz w:val="21"/>
                <w:szCs w:val="21"/>
                <w:highlight w:val="none"/>
              </w:rPr>
              <w:t xml:space="preserve">工程量清单</w:t>
            </w:r>
            <w:r>
              <w:rPr>
                <w:rFonts w:hint="eastAsia" w:ascii="宋体" w:hAnsi="宋体" w:eastAsia="宋体" w:cs="宋体"/>
                <w:b w:val="0"/>
                <w:bCs w:val="0"/>
                <w:color w:val="000000"/>
                <w:sz w:val="21"/>
                <w:szCs w:val="21"/>
                <w:highlight w:val="none"/>
                <w:lang w:val="en-US" w:eastAsia="zh-CN"/>
              </w:rPr>
              <w:t xml:space="preserve">投标报价单</w:t>
            </w:r>
            <w:r>
              <w:rPr>
                <w:rFonts w:hint="eastAsia" w:ascii="宋体" w:hAnsi="宋体" w:eastAsia="宋体" w:cs="宋体"/>
                <w:b w:val="0"/>
                <w:bCs w:val="0"/>
                <w:color w:val="000000"/>
                <w:sz w:val="21"/>
                <w:szCs w:val="21"/>
                <w:highlight w:val="none"/>
              </w:rPr>
              <w:t xml:space="preserve">中提出的</w:t>
            </w:r>
            <w:r>
              <w:rPr>
                <w:rFonts w:hint="eastAsia" w:ascii="宋体" w:hAnsi="宋体" w:eastAsia="宋体" w:cs="宋体"/>
                <w:b w:val="0"/>
                <w:bCs w:val="0"/>
                <w:color w:val="000000"/>
                <w:sz w:val="21"/>
                <w:szCs w:val="21"/>
                <w:highlight w:val="none"/>
                <w:lang w:val="en-US" w:eastAsia="zh-CN"/>
              </w:rPr>
              <w:t xml:space="preserve">全费用综合单价</w:t>
            </w:r>
            <w:r>
              <w:rPr>
                <w:rFonts w:hint="eastAsia" w:ascii="宋体" w:hAnsi="宋体" w:eastAsia="宋体" w:cs="宋体"/>
                <w:b w:val="0"/>
                <w:bCs w:val="0"/>
                <w:color w:val="000000"/>
                <w:sz w:val="21"/>
                <w:szCs w:val="21"/>
                <w:highlight w:val="none"/>
              </w:rPr>
              <w:t xml:space="preserve">或总额价</w:t>
            </w:r>
            <w:r>
              <w:rPr>
                <w:rFonts w:hint="eastAsia" w:ascii="宋体" w:hAnsi="宋体" w:eastAsia="宋体" w:cs="宋体"/>
                <w:color w:val="000000"/>
                <w:sz w:val="21"/>
                <w:szCs w:val="21"/>
                <w:highlight w:val="none"/>
              </w:rPr>
              <w:t xml:space="preserve">为根据。</w:t>
            </w:r>
            <w:r>
              <w:rPr>
                <w:rFonts w:hint="eastAsia" w:ascii="宋体" w:hAnsi="宋体" w:eastAsia="宋体" w:cs="宋体"/>
                <w:bCs/>
                <w:color w:val="000000"/>
                <w:sz w:val="21"/>
                <w:szCs w:val="21"/>
                <w:highlight w:val="none"/>
              </w:rPr>
              <w:t xml:space="preserve">投标人所报的</w:t>
            </w:r>
            <w:r>
              <w:rPr>
                <w:rFonts w:hint="eastAsia" w:ascii="宋体" w:hAnsi="宋体" w:eastAsia="宋体" w:cs="宋体"/>
                <w:b/>
                <w:bCs w:val="0"/>
                <w:color w:val="000000"/>
                <w:sz w:val="21"/>
                <w:szCs w:val="21"/>
                <w:highlight w:val="none"/>
                <w:lang w:val="en-US" w:eastAsia="zh-CN"/>
              </w:rPr>
              <w:t xml:space="preserve">全费用综合</w:t>
            </w:r>
            <w:r>
              <w:rPr>
                <w:rFonts w:hint="eastAsia" w:ascii="宋体" w:hAnsi="宋体" w:eastAsia="宋体" w:cs="宋体"/>
                <w:b/>
                <w:bCs w:val="0"/>
                <w:color w:val="000000"/>
                <w:sz w:val="21"/>
                <w:szCs w:val="21"/>
                <w:highlight w:val="none"/>
              </w:rPr>
              <w:t xml:space="preserve">单价或总额价应包括为实施和完成合同工程所需的劳务、材料、机械、质检、测量、管理、验收、保险、保修、利润、税金、施工场地临时占用、有关矛盾协调等费用以及合同明示或暗示的所有责任、义务和一般风险（本工程还包括风、雨、雾、浪、水流、水位、地质等自然现象对施工的影响以及船闸正常通航对施工安全、进度的影响和水下地质（含拟建构筑物附近的水下可能障碍物）情况对施工的影响等。合同实施过程中，承包人不得就上述可以预见的风险向发包人索赔或要求调整合同</w:t>
            </w:r>
            <w:r>
              <w:rPr>
                <w:rFonts w:hint="eastAsia" w:ascii="宋体" w:hAnsi="宋体" w:eastAsia="宋体" w:cs="宋体"/>
                <w:b/>
                <w:bCs w:val="0"/>
                <w:color w:val="000000"/>
                <w:sz w:val="21"/>
                <w:szCs w:val="21"/>
                <w:highlight w:val="none"/>
                <w:lang w:val="en-US" w:eastAsia="zh-CN"/>
              </w:rPr>
              <w:t xml:space="preserve">全费用综合</w:t>
            </w:r>
            <w:r>
              <w:rPr>
                <w:rFonts w:hint="eastAsia" w:ascii="宋体" w:hAnsi="宋体" w:eastAsia="宋体" w:cs="宋体"/>
                <w:b/>
                <w:bCs w:val="0"/>
                <w:color w:val="000000"/>
                <w:sz w:val="21"/>
                <w:szCs w:val="21"/>
                <w:highlight w:val="none"/>
              </w:rPr>
              <w:t xml:space="preserve">单价或总额价）。现场施工工地需要按标准化施工工地管理要求，设置护栏、围挡、标志、标牌及其他必要的所需设备设施，营造文明、安全施工工地。</w:t>
            </w:r>
            <w:r>
              <w:rPr>
                <w:rFonts w:hint="eastAsia" w:ascii="宋体" w:hAnsi="宋体" w:eastAsia="宋体" w:cs="宋体"/>
                <w:color w:val="000000"/>
                <w:sz w:val="21"/>
                <w:szCs w:val="21"/>
                <w:highlight w:val="none"/>
              </w:rPr>
            </w:r>
            <w:r/>
          </w:p>
          <w:p>
            <w:pPr>
              <w:pStyle w:val="801"/>
              <w:ind w:firstLine="420"/>
              <w:keepLines w:val="0"/>
              <w:keepNext w:val="0"/>
              <w:pageBreakBefore w:val="0"/>
              <w:spacing w:before="95" w:line="312" w:lineRule="auto"/>
              <w:widowControl w:val="off"/>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t xml:space="preserve">⑶投标人在编制投标报价时，应充分考虑施工期间市场的风险和国家政策性调整风险等一切因素，并计入投标报价中。合同协议书一经签订，除合同另有规定外，合同单价一概不予调整。</w:t>
            </w:r>
            <w:r>
              <w:rPr>
                <w:rFonts w:hint="eastAsia" w:ascii="宋体" w:hAnsi="宋体" w:eastAsia="宋体" w:cs="宋体"/>
                <w:color w:val="000000"/>
                <w:sz w:val="21"/>
                <w:szCs w:val="21"/>
                <w:highlight w:val="none"/>
              </w:rPr>
            </w:r>
            <w:r/>
          </w:p>
          <w:p>
            <w:pPr>
              <w:pStyle w:val="801"/>
              <w:ind w:firstLine="420"/>
              <w:keepLines w:val="0"/>
              <w:keepNext w:val="0"/>
              <w:pageBreakBefore w:val="0"/>
              <w:spacing w:before="95" w:line="312" w:lineRule="auto"/>
              <w:widowControl w:val="off"/>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t xml:space="preserve">⑷中国政府（江苏省）根据现行税法和有关部门现行规定就本合同项下向承包人征收的所有税金及其他应交纳的所有费用均由承包人摊入各工程细目的单价中。</w:t>
            </w:r>
            <w:r>
              <w:rPr>
                <w:rFonts w:hint="eastAsia" w:ascii="宋体" w:hAnsi="宋体" w:eastAsia="宋体" w:cs="宋体"/>
                <w:color w:val="000000"/>
                <w:sz w:val="21"/>
                <w:szCs w:val="21"/>
                <w:highlight w:val="none"/>
              </w:rPr>
            </w:r>
            <w:r/>
          </w:p>
          <w:p>
            <w:pPr>
              <w:pStyle w:val="801"/>
              <w:ind w:firstLine="420"/>
              <w:keepLines w:val="0"/>
              <w:keepNext w:val="0"/>
              <w:pageBreakBefore w:val="0"/>
              <w:spacing w:before="95" w:line="312" w:lineRule="auto"/>
              <w:widowControl w:val="off"/>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t xml:space="preserve">⑸</w:t>
            </w:r>
            <w:r>
              <w:rPr>
                <w:rFonts w:hint="eastAsia" w:ascii="宋体" w:hAnsi="宋体" w:eastAsia="宋体" w:cs="宋体"/>
                <w:color w:val="000000"/>
                <w:sz w:val="21"/>
                <w:szCs w:val="21"/>
                <w:highlight w:val="none"/>
              </w:rPr>
              <w:t xml:space="preserve">工程实施过程中，承包人应做好海事、水利、渔政、林业、航政、环保等部门的沟通、协调工作，施工期间本项目施工区域范围内海事、水利、渔政、林业、航政、环保等相关主管部门可能会根据各部门相关管理规定收取规费，相关费用由承包人自行考虑并承担，不单独计列，包含在投标人的投标总价及单价中。</w:t>
            </w:r>
            <w:r>
              <w:rPr>
                <w:rFonts w:hint="eastAsia" w:ascii="宋体" w:hAnsi="宋体" w:eastAsia="宋体" w:cs="宋体"/>
                <w:color w:val="000000"/>
                <w:sz w:val="21"/>
                <w:szCs w:val="21"/>
                <w:highlight w:val="none"/>
              </w:rPr>
            </w:r>
            <w:r/>
          </w:p>
          <w:p>
            <w:pPr>
              <w:pStyle w:val="801"/>
              <w:ind w:firstLine="420"/>
              <w:keepLines w:val="0"/>
              <w:keepNext w:val="0"/>
              <w:pageBreakBefore w:val="0"/>
              <w:spacing w:before="95" w:line="312" w:lineRule="auto"/>
              <w:widowControl w:val="off"/>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t xml:space="preserve">⑹施工现场通讯条件、临时交通、承包人驻地建设等，投标人应根据现场考察情况自行解决；临时工程与设施应考虑施工期施工、地方临时通行以及防汛的需要，达到以上要求所需的费用应含在投标人的投标报价中，不单独计量与支付。</w:t>
            </w:r>
            <w:r>
              <w:rPr>
                <w:rFonts w:hint="eastAsia" w:ascii="宋体" w:hAnsi="宋体" w:eastAsia="宋体" w:cs="宋体"/>
                <w:color w:val="000000"/>
                <w:sz w:val="21"/>
                <w:szCs w:val="21"/>
                <w:highlight w:val="none"/>
              </w:rPr>
            </w:r>
            <w:r/>
          </w:p>
          <w:p>
            <w:pPr>
              <w:pStyle w:val="853"/>
              <w:ind w:left="0" w:firstLine="420"/>
              <w:keepLines w:val="0"/>
              <w:keepNext w:val="0"/>
              <w:pageBreakBefore w:val="0"/>
              <w:spacing w:before="95" w:line="312" w:lineRule="auto"/>
              <w:widowControl w:val="off"/>
              <w:rPr>
                <w:rFonts w:hint="eastAsia" w:ascii="宋体" w:hAnsi="宋体" w:eastAsia="宋体" w:cs="宋体"/>
                <w:bCs/>
                <w:color w:val="000000"/>
                <w:sz w:val="21"/>
                <w:szCs w:val="21"/>
                <w:highlight w:val="none"/>
              </w:rPr>
              <w:framePr w:vAnchor="margin" w:hAnchor="page" w:xAlign="center" w:y="1"/>
            </w:pPr>
            <w:r>
              <w:rPr>
                <w:rFonts w:hint="eastAsia" w:ascii="宋体" w:hAnsi="宋体" w:eastAsia="宋体" w:cs="宋体"/>
                <w:bCs/>
                <w:color w:val="000000"/>
                <w:sz w:val="21"/>
                <w:szCs w:val="21"/>
                <w:highlight w:val="none"/>
              </w:rPr>
              <w:t xml:space="preserve">所有临时用地（永久征地线范围之外的一切用地）由承包人根据其施工组织计划，确定项目施工所必需的临时用地数量，进场后要在规定时间内上报临时用地计划，经监理人审核，发包人同意后方可实施。承包人自行与工程所在地政府商谈办理临时用地租用及复垦手续，并承担租用、青苗补偿、复垦及可能的地面附属构筑物复建等相关费用，发包人给予必要的协助，相关费用包含在投标报价中。</w:t>
            </w:r>
            <w:r>
              <w:rPr>
                <w:rFonts w:hint="eastAsia" w:ascii="宋体" w:hAnsi="宋体" w:eastAsia="宋体" w:cs="宋体"/>
                <w:bCs/>
                <w:color w:val="000000"/>
                <w:sz w:val="21"/>
                <w:szCs w:val="21"/>
                <w:highlight w:val="none"/>
              </w:rPr>
            </w:r>
            <w:r/>
          </w:p>
          <w:p>
            <w:pPr>
              <w:pStyle w:val="801"/>
              <w:ind w:firstLine="420"/>
              <w:keepLines w:val="0"/>
              <w:keepNext w:val="0"/>
              <w:pageBreakBefore w:val="0"/>
              <w:spacing w:before="95" w:line="312" w:lineRule="auto"/>
              <w:widowControl w:val="off"/>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bCs/>
                <w:color w:val="000000"/>
                <w:sz w:val="21"/>
                <w:szCs w:val="21"/>
                <w:highlight w:val="none"/>
              </w:rPr>
              <w:t xml:space="preserve">到达临时用地的临时道路（桥）的修建、维护、拆除以及便道（桥）用地的租用手续和复垦、临时堆土区围堰构筑、排水设施由承包人负责并承担费用，所需的相关费用包含在投标报价中。</w:t>
            </w:r>
            <w:r>
              <w:rPr>
                <w:rFonts w:hint="eastAsia" w:ascii="宋体" w:hAnsi="宋体" w:eastAsia="宋体" w:cs="宋体"/>
                <w:color w:val="000000"/>
                <w:sz w:val="21"/>
                <w:szCs w:val="21"/>
                <w:highlight w:val="none"/>
              </w:rPr>
            </w:r>
            <w:r/>
          </w:p>
          <w:p>
            <w:pPr>
              <w:pStyle w:val="801"/>
              <w:ind w:firstLine="420"/>
              <w:keepLines w:val="0"/>
              <w:keepNext w:val="0"/>
              <w:pageBreakBefore w:val="0"/>
              <w:spacing w:before="95" w:line="312" w:lineRule="auto"/>
              <w:widowControl w:val="off"/>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t xml:space="preserve">⑺承包人发生劳务分包时必须遵守国家相关法律以及市县的相关规定，并承担一切责任，承包人须将劳务分包合同报发包人备案。</w:t>
            </w:r>
            <w:r>
              <w:rPr>
                <w:rFonts w:hint="eastAsia" w:ascii="宋体" w:hAnsi="宋体" w:eastAsia="宋体" w:cs="宋体"/>
                <w:color w:val="000000"/>
                <w:sz w:val="21"/>
                <w:szCs w:val="21"/>
                <w:highlight w:val="none"/>
              </w:rPr>
            </w:r>
            <w:r/>
          </w:p>
          <w:p>
            <w:pPr>
              <w:pStyle w:val="801"/>
              <w:ind w:firstLine="420"/>
              <w:keepLines w:val="0"/>
              <w:keepNext w:val="0"/>
              <w:pageBreakBefore w:val="0"/>
              <w:spacing w:before="95" w:line="312" w:lineRule="auto"/>
              <w:widowControl w:val="off"/>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t xml:space="preserve">⑻承包人施工现场的管理必须满足工程所在地地方政府的相关规定。不得随意抛弃建筑垃圾、废弃物、散体施工材料；严格执行关于排污的环保要求，严禁随意将垃圾、污水、泥浆及废弃油料直接排入航道，排放污染物应进行必要的处理，达到排污标准以后方可排放；及时做好施工涉及相关道路的交通维护、保洁维修工作；各类施工过程中，施工中应做到文明施工，确保不发生沿线扬尘、排污。如果承包人违反上述规定，由此产生的罚款、索赔、赔偿、诉讼费用及其它开支均由承包人承担。投标人在进行现场考察及投标时需充分考虑，相关费用包含在投标人的投标总价中。</w:t>
            </w:r>
            <w:r>
              <w:rPr>
                <w:rFonts w:hint="eastAsia" w:ascii="宋体" w:hAnsi="宋体" w:eastAsia="宋体" w:cs="宋体"/>
                <w:color w:val="000000"/>
                <w:sz w:val="21"/>
                <w:szCs w:val="21"/>
                <w:highlight w:val="none"/>
              </w:rPr>
            </w:r>
            <w:r/>
          </w:p>
          <w:p>
            <w:pPr>
              <w:pStyle w:val="801"/>
              <w:ind w:firstLine="420"/>
              <w:keepLines w:val="0"/>
              <w:keepNext w:val="0"/>
              <w:pageBreakBefore w:val="0"/>
              <w:spacing w:before="95" w:line="312" w:lineRule="auto"/>
              <w:widowControl w:val="off"/>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t xml:space="preserve">⑼</w:t>
            </w:r>
            <w:r>
              <w:rPr>
                <w:rFonts w:hint="eastAsia" w:ascii="宋体" w:hAnsi="宋体" w:eastAsia="宋体" w:cs="宋体"/>
                <w:color w:val="000000"/>
                <w:sz w:val="21"/>
                <w:szCs w:val="21"/>
                <w:highlight w:val="none"/>
              </w:rPr>
              <w:t xml:space="preserve">承包人在施工前必须对邻近现有的建筑物、构造物、管道管线（供水、燃气、通信、盐卤管道等）以及其他工程设施的作详尽的调查，做好各种保护措施，确保施工过程中不影响原有设施的安全与正常使用。如果由于承包人的原因导致各类损坏，由此产生的索赔、赔偿、诉讼费用及其它开支均由承包人承担。承包人在进行现场考察及投标时需充分考虑，相关费用包含在承包人的投标总价中。</w:t>
            </w:r>
            <w:r>
              <w:rPr>
                <w:rFonts w:hint="eastAsia" w:ascii="宋体" w:hAnsi="宋体" w:eastAsia="宋体" w:cs="宋体"/>
                <w:color w:val="000000"/>
                <w:sz w:val="21"/>
                <w:szCs w:val="21"/>
                <w:highlight w:val="none"/>
              </w:rPr>
            </w:r>
            <w:r/>
          </w:p>
          <w:p>
            <w:pPr>
              <w:pStyle w:val="801"/>
              <w:ind w:firstLine="420"/>
              <w:keepLines w:val="0"/>
              <w:keepNext w:val="0"/>
              <w:pageBreakBefore w:val="0"/>
              <w:spacing w:before="95" w:line="312" w:lineRule="auto"/>
              <w:widowControl w:val="off"/>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t xml:space="preserve">⑽工程一切险及第三者责任险由承包人以承包人与发包人联名投保，工程一切险的费用为全部保费，由承包人按相关规定投保，发包人予以配合。投保条件与保险费率由承包人自行考虑，不单独计列，相关费用包含在投标人的投标总价及单价中。如承包人未按相关要求参保，出现任何事故，由承包人自行承担。</w:t>
            </w:r>
            <w:r>
              <w:rPr>
                <w:rFonts w:hint="eastAsia" w:ascii="宋体" w:hAnsi="宋体" w:eastAsia="宋体" w:cs="宋体"/>
                <w:color w:val="000000"/>
                <w:sz w:val="21"/>
                <w:szCs w:val="21"/>
                <w:highlight w:val="none"/>
              </w:rPr>
            </w:r>
            <w:r/>
          </w:p>
          <w:p>
            <w:pPr>
              <w:pStyle w:val="801"/>
              <w:ind w:firstLine="420"/>
              <w:keepLines w:val="0"/>
              <w:keepNext w:val="0"/>
              <w:pageBreakBefore w:val="0"/>
              <w:spacing w:before="95" w:line="312" w:lineRule="auto"/>
              <w:widowControl w:val="off"/>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t xml:space="preserve">承包人装备险和承包人职工的（人身）事故险均由承包人自行投保，保险费用由承包人承担并含在合同综合单价中，不单独列支。</w:t>
            </w:r>
            <w:r>
              <w:rPr>
                <w:rFonts w:hint="eastAsia" w:ascii="宋体" w:hAnsi="宋体" w:eastAsia="宋体" w:cs="宋体"/>
                <w:color w:val="000000"/>
                <w:sz w:val="21"/>
                <w:szCs w:val="21"/>
                <w:highlight w:val="none"/>
              </w:rPr>
            </w:r>
            <w:r/>
          </w:p>
          <w:p>
            <w:pPr>
              <w:pStyle w:val="801"/>
              <w:ind w:firstLine="420"/>
              <w:keepLines w:val="0"/>
              <w:keepNext w:val="0"/>
              <w:pageBreakBefore w:val="0"/>
              <w:spacing w:before="95" w:line="312" w:lineRule="auto"/>
              <w:widowControl w:val="off"/>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t xml:space="preserve">⑾根据《公路水运工程安全生产监督管理办法》（交通运输部令2017年第25号）、关于印发《企业安全生产费用提取和使用管理办法》的通知（财资〔2022〕136号）、《江苏省公路水运工程安全生产费用管理办法》（苏交规〔2025〕1号）的规定，投标人应在投标总价中计入安全生产费用</w:t>
            </w:r>
            <w:r>
              <w:rPr>
                <w:rFonts w:hint="eastAsia" w:ascii="宋体" w:hAnsi="宋体" w:eastAsia="宋体" w:cs="宋体"/>
                <w:b/>
                <w:bCs/>
                <w:color w:val="000000"/>
                <w:sz w:val="21"/>
                <w:szCs w:val="21"/>
                <w:highlight w:val="none"/>
              </w:rPr>
              <w:t xml:space="preserve">，本项目的安全生产费用为</w:t>
            </w:r>
            <w:r>
              <w:rPr>
                <w:rFonts w:hint="eastAsia" w:ascii="宋体" w:hAnsi="宋体" w:eastAsia="宋体" w:cs="宋体"/>
                <w:b/>
                <w:bCs/>
                <w:color w:val="000000"/>
                <w:sz w:val="21"/>
                <w:szCs w:val="21"/>
                <w:highlight w:val="none"/>
                <w:lang w:val="en-US" w:eastAsia="zh-CN"/>
              </w:rPr>
              <w:t xml:space="preserve">1</w:t>
            </w:r>
            <w:r>
              <w:rPr>
                <w:rFonts w:hint="eastAsia" w:ascii="宋体" w:hAnsi="宋体" w:eastAsia="宋体" w:cs="宋体"/>
                <w:b/>
                <w:bCs/>
                <w:color w:val="000000"/>
                <w:sz w:val="21"/>
                <w:szCs w:val="21"/>
                <w:highlight w:val="none"/>
                <w:lang w:val="en-US" w:eastAsia="zh-CN"/>
              </w:rPr>
              <w:t xml:space="preserve">9.2万元，</w:t>
            </w:r>
            <w:r>
              <w:rPr>
                <w:rFonts w:hint="eastAsia" w:ascii="宋体" w:hAnsi="宋体" w:eastAsia="宋体" w:cs="宋体"/>
                <w:color w:val="000000"/>
                <w:sz w:val="21"/>
                <w:szCs w:val="21"/>
                <w:highlight w:val="none"/>
              </w:rPr>
              <w:t xml:space="preserve">除合同另有规定，承包人在施工过程中用于安全生产、文明施工的费用</w:t>
            </w:r>
            <w:r>
              <w:rPr>
                <w:rFonts w:hint="eastAsia" w:ascii="宋体" w:hAnsi="宋体" w:eastAsia="宋体" w:cs="宋体"/>
                <w:b/>
                <w:bCs/>
                <w:color w:val="000000"/>
                <w:sz w:val="21"/>
                <w:szCs w:val="21"/>
                <w:highlight w:val="none"/>
              </w:rPr>
              <w:t xml:space="preserve">超出</w:t>
            </w:r>
            <w:r>
              <w:rPr>
                <w:rFonts w:hint="eastAsia" w:ascii="宋体" w:hAnsi="宋体" w:eastAsia="宋体" w:cs="宋体"/>
                <w:b/>
                <w:bCs/>
                <w:color w:val="000000"/>
                <w:sz w:val="21"/>
                <w:szCs w:val="21"/>
                <w:highlight w:val="none"/>
                <w:lang w:val="en-US" w:eastAsia="zh-CN"/>
              </w:rPr>
              <w:t xml:space="preserve">1</w:t>
            </w:r>
            <w:r>
              <w:rPr>
                <w:rFonts w:hint="eastAsia" w:ascii="宋体" w:hAnsi="宋体" w:eastAsia="宋体" w:cs="宋体"/>
                <w:b/>
                <w:bCs/>
                <w:color w:val="000000"/>
                <w:sz w:val="21"/>
                <w:szCs w:val="21"/>
                <w:highlight w:val="none"/>
                <w:lang w:val="en-US" w:eastAsia="zh-CN"/>
              </w:rPr>
              <w:t xml:space="preserve">9.2万元</w:t>
            </w:r>
            <w:r>
              <w:rPr>
                <w:rFonts w:hint="eastAsia" w:ascii="宋体" w:hAnsi="宋体" w:eastAsia="宋体" w:cs="宋体"/>
                <w:b/>
                <w:bCs/>
                <w:color w:val="000000"/>
                <w:sz w:val="21"/>
                <w:szCs w:val="21"/>
                <w:highlight w:val="none"/>
              </w:rPr>
              <w:t xml:space="preserve">的</w:t>
            </w:r>
            <w:r>
              <w:rPr>
                <w:rFonts w:hint="eastAsia" w:ascii="宋体" w:hAnsi="宋体" w:eastAsia="宋体" w:cs="宋体"/>
                <w:color w:val="000000"/>
                <w:sz w:val="21"/>
                <w:szCs w:val="21"/>
                <w:highlight w:val="none"/>
              </w:rPr>
              <w:t xml:space="preserve">，</w:t>
            </w:r>
            <w:r>
              <w:rPr>
                <w:rFonts w:hint="eastAsia" w:ascii="宋体" w:hAnsi="宋体" w:eastAsia="宋体" w:cs="宋体"/>
                <w:b/>
                <w:bCs/>
                <w:color w:val="000000"/>
                <w:sz w:val="21"/>
                <w:szCs w:val="21"/>
                <w:highlight w:val="none"/>
              </w:rPr>
              <w:t xml:space="preserve">超出部分费用承包人自行承担，视为包含在投标报价的单价中，不另行计量与支付。</w:t>
            </w:r>
            <w:r>
              <w:rPr>
                <w:rFonts w:hint="eastAsia" w:ascii="宋体" w:hAnsi="宋体" w:eastAsia="宋体" w:cs="宋体"/>
                <w:color w:val="000000"/>
                <w:sz w:val="21"/>
                <w:szCs w:val="21"/>
                <w:highlight w:val="none"/>
              </w:rPr>
              <w:t xml:space="preserve">安全生产费用须经监理审核合格后，计量支付。</w:t>
            </w:r>
            <w:r>
              <w:rPr>
                <w:rFonts w:hint="eastAsia" w:ascii="宋体" w:hAnsi="宋体" w:eastAsia="宋体" w:cs="宋体"/>
                <w:color w:val="000000"/>
                <w:sz w:val="21"/>
                <w:szCs w:val="21"/>
                <w:highlight w:val="none"/>
              </w:rPr>
            </w:r>
            <w:r/>
          </w:p>
          <w:p>
            <w:pPr>
              <w:pStyle w:val="801"/>
              <w:ind w:firstLine="422"/>
              <w:keepLines w:val="0"/>
              <w:keepNext w:val="0"/>
              <w:pageBreakBefore w:val="0"/>
              <w:spacing w:before="95" w:line="312" w:lineRule="auto"/>
              <w:widowControl w:val="off"/>
              <w:rPr>
                <w:rFonts w:hint="eastAsia" w:ascii="宋体" w:hAnsi="宋体" w:eastAsia="宋体" w:cs="宋体"/>
                <w:b/>
                <w:bCs/>
                <w:color w:val="000000"/>
                <w:sz w:val="21"/>
                <w:szCs w:val="21"/>
                <w:highlight w:val="none"/>
              </w:rPr>
              <w:framePr w:vAnchor="margin" w:hAnchor="page" w:xAlign="center" w:y="1"/>
            </w:pPr>
            <w:r>
              <w:rPr>
                <w:rFonts w:hint="eastAsia" w:ascii="宋体" w:hAnsi="宋体" w:eastAsia="宋体" w:cs="宋体"/>
                <w:b/>
                <w:bCs/>
                <w:color w:val="000000"/>
                <w:sz w:val="21"/>
                <w:szCs w:val="21"/>
                <w:highlight w:val="none"/>
              </w:rPr>
              <w:t xml:space="preserve">根据《安全生产责任保险实施办法》（应急〔2025〕27号）的要求，承包人必须投保安全生产责任险，保险费用包含在安全生产费中，据实计量支付。</w:t>
            </w:r>
            <w:r>
              <w:rPr>
                <w:rFonts w:hint="eastAsia" w:ascii="宋体" w:hAnsi="宋体" w:eastAsia="宋体" w:cs="宋体"/>
                <w:b/>
                <w:bCs/>
                <w:color w:val="000000"/>
                <w:sz w:val="21"/>
                <w:szCs w:val="21"/>
                <w:highlight w:val="none"/>
              </w:rPr>
            </w:r>
            <w:r/>
          </w:p>
          <w:p>
            <w:pPr>
              <w:pStyle w:val="801"/>
              <w:ind w:firstLine="422"/>
              <w:keepLines w:val="0"/>
              <w:keepNext w:val="0"/>
              <w:pageBreakBefore w:val="0"/>
              <w:spacing w:before="95" w:line="312" w:lineRule="auto"/>
              <w:widowControl w:val="off"/>
              <w:rPr>
                <w:rFonts w:ascii="宋体" w:hAnsi="宋体" w:eastAsia="宋体" w:cs="宋体"/>
                <w:b/>
                <w:bCs/>
                <w:color w:val="000000"/>
                <w:sz w:val="21"/>
                <w:szCs w:val="21"/>
                <w:highlight w:val="none"/>
                <w:lang w:val="en-US" w:eastAsia="zh-CN"/>
              </w:rPr>
              <w:framePr w:vAnchor="margin" w:hAnchor="page" w:xAlign="center" w:y="1"/>
            </w:pPr>
            <w:r>
              <w:rPr>
                <w:rFonts w:hint="eastAsia" w:ascii="宋体" w:hAnsi="宋体" w:eastAsia="宋体" w:cs="宋体"/>
                <w:b/>
                <w:bCs/>
                <w:color w:val="000000"/>
                <w:sz w:val="21"/>
                <w:szCs w:val="21"/>
                <w:highlight w:val="none"/>
                <w:lang w:val="en-US" w:eastAsia="zh-CN"/>
              </w:rPr>
              <w:t xml:space="preserve">承包人</w:t>
            </w:r>
            <w:r>
              <w:rPr>
                <w:rFonts w:hint="eastAsia" w:ascii="宋体" w:hAnsi="宋体" w:eastAsia="宋体" w:cs="宋体"/>
                <w:b/>
                <w:bCs/>
                <w:color w:val="000000"/>
                <w:sz w:val="21"/>
                <w:szCs w:val="21"/>
                <w:highlight w:val="none"/>
              </w:rPr>
              <w:t xml:space="preserve">水上作业</w:t>
            </w:r>
            <w:r>
              <w:rPr>
                <w:rFonts w:hint="eastAsia" w:ascii="宋体" w:hAnsi="宋体" w:eastAsia="宋体" w:cs="宋体"/>
                <w:b/>
                <w:bCs/>
                <w:color w:val="000000"/>
                <w:sz w:val="21"/>
                <w:szCs w:val="21"/>
                <w:highlight w:val="none"/>
                <w:lang w:val="en-US" w:eastAsia="zh-CN"/>
              </w:rPr>
              <w:t xml:space="preserve">应向属地交通运输综合执法部门办理</w:t>
            </w:r>
            <w:r>
              <w:rPr>
                <w:rFonts w:hint="eastAsia" w:ascii="宋体" w:hAnsi="宋体" w:eastAsia="宋体" w:cs="宋体"/>
                <w:b/>
                <w:bCs/>
                <w:color w:val="000000"/>
                <w:sz w:val="21"/>
                <w:szCs w:val="21"/>
                <w:highlight w:val="none"/>
              </w:rPr>
              <w:t xml:space="preserve">审核备案</w:t>
            </w:r>
            <w:r>
              <w:rPr>
                <w:rFonts w:hint="eastAsia" w:ascii="宋体" w:hAnsi="宋体" w:eastAsia="宋体" w:cs="宋体"/>
                <w:b/>
                <w:bCs/>
                <w:color w:val="000000"/>
                <w:sz w:val="21"/>
                <w:szCs w:val="21"/>
                <w:highlight w:val="none"/>
                <w:lang w:val="en-US" w:eastAsia="zh-CN"/>
              </w:rPr>
              <w:t xml:space="preserve">手续；</w:t>
            </w:r>
            <w:r>
              <w:rPr>
                <w:rFonts w:hint="eastAsia" w:ascii="宋体" w:hAnsi="宋体" w:eastAsia="宋体" w:cs="宋体"/>
                <w:b/>
                <w:bCs/>
                <w:color w:val="000000"/>
                <w:sz w:val="21"/>
                <w:szCs w:val="21"/>
                <w:highlight w:val="none"/>
                <w:lang w:val="en-US" w:eastAsia="zh-CN"/>
              </w:rPr>
              <w:t xml:space="preserve">涉及危险性较大的分部分项工程按规定编制专项施工方案；对于超过一定规模的危大工程，承包人编制的专项施工方案，应依法组织召开专家论证会对专项施工方案进行论证，并按照专家论证通过的专项施工方案进行实施。以上相关论证费用、实施所需费用在投标报价中应充分考虑，招标人不另行支付。</w:t>
            </w:r>
            <w:r>
              <w:rPr>
                <w:rFonts w:ascii="宋体" w:hAnsi="宋体" w:eastAsia="宋体" w:cs="宋体"/>
                <w:b/>
                <w:bCs/>
                <w:color w:val="000000"/>
                <w:sz w:val="21"/>
                <w:szCs w:val="21"/>
                <w:highlight w:val="none"/>
                <w:lang w:val="en-US" w:eastAsia="zh-CN"/>
              </w:rPr>
            </w:r>
            <w:r/>
          </w:p>
          <w:p>
            <w:pPr>
              <w:pStyle w:val="801"/>
              <w:ind w:firstLine="420"/>
              <w:keepLines w:val="0"/>
              <w:keepNext w:val="0"/>
              <w:pageBreakBefore w:val="0"/>
              <w:spacing w:before="95" w:line="312" w:lineRule="auto"/>
              <w:widowControl w:val="off"/>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t xml:space="preserve">⑿本项目承包人应当根据《江苏省人力资源社会保障厅 江苏省财政厅 江苏省税务局关于印发江苏省工伤保险费率管理办法（修订版）的通知》（苏人社规〔2023〕2号）、《省人力资源社会保障厅关于确定2025年全省工程建设项目工伤保险费率的通知》（苏人社函〔2025〕1号）的规定，在建设工程开工前，以工程项目为单元参加工伤保险，与之相关的费用计入合同总价中，不单独计量与支付。</w:t>
            </w:r>
            <w:r>
              <w:rPr>
                <w:rFonts w:hint="eastAsia" w:ascii="宋体" w:hAnsi="宋体" w:eastAsia="宋体" w:cs="宋体"/>
                <w:color w:val="000000"/>
                <w:sz w:val="21"/>
                <w:szCs w:val="21"/>
                <w:highlight w:val="none"/>
              </w:rPr>
            </w:r>
            <w:r/>
          </w:p>
          <w:p>
            <w:pPr>
              <w:pStyle w:val="801"/>
              <w:ind w:firstLine="420"/>
              <w:keepLines w:val="0"/>
              <w:keepNext w:val="0"/>
              <w:pageBreakBefore w:val="0"/>
              <w:spacing w:before="95" w:line="312" w:lineRule="auto"/>
              <w:widowControl w:val="off"/>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t xml:space="preserve">⒀）承包人在施工过程中应严格遵守《中华人民共和国大气污染防治法》、《江苏省大气污染防治条例》、《江苏省公路水运工程工地扬尘污染防治行动方案》、《江苏省公路水运工程施工扬尘污染防治指导手册》等相关规定，按照招标文件及发包人要求，在合同实施过程中制定扬尘污染防治实施方案并切实有效的开展相关工作，所需费用含在承包人所报的单价或总额价内，发包人不再单独计列。</w:t>
            </w:r>
            <w:r>
              <w:rPr>
                <w:rFonts w:hint="eastAsia" w:ascii="宋体" w:hAnsi="宋体" w:eastAsia="宋体" w:cs="宋体"/>
                <w:color w:val="000000"/>
                <w:sz w:val="21"/>
                <w:szCs w:val="21"/>
                <w:highlight w:val="none"/>
              </w:rPr>
            </w:r>
            <w:r/>
          </w:p>
          <w:p>
            <w:pPr>
              <w:pStyle w:val="801"/>
              <w:ind w:firstLine="422"/>
              <w:keepLines w:val="0"/>
              <w:keepNext w:val="0"/>
              <w:pageBreakBefore w:val="0"/>
              <w:spacing w:before="95" w:line="312" w:lineRule="auto"/>
              <w:widowControl w:val="off"/>
              <w:rPr>
                <w:rFonts w:hint="eastAsia" w:ascii="宋体" w:hAnsi="宋体" w:eastAsia="宋体" w:cs="宋体"/>
                <w:b/>
                <w:bCs/>
                <w:color w:val="000000"/>
                <w:sz w:val="21"/>
                <w:szCs w:val="21"/>
                <w:highlight w:val="none"/>
              </w:rPr>
              <w:framePr w:vAnchor="margin" w:hAnchor="page" w:xAlign="center" w:y="1"/>
            </w:pPr>
            <w:r>
              <w:rPr>
                <w:rFonts w:hint="eastAsia" w:ascii="宋体" w:hAnsi="宋体" w:eastAsia="宋体" w:cs="宋体"/>
                <w:b/>
                <w:bCs/>
                <w:color w:val="000000"/>
                <w:sz w:val="21"/>
                <w:szCs w:val="21"/>
                <w:highlight w:val="none"/>
              </w:rPr>
              <w:t xml:space="preserve">⒁报价必须在招标人提供的电子固化全费用工程量清单投标报价单中填写，投标人不能按照报价格式用自己的报价软件自动生成，否则将被否决投标。</w:t>
            </w:r>
            <w:r>
              <w:rPr>
                <w:rFonts w:hint="eastAsia" w:ascii="宋体" w:hAnsi="宋体" w:eastAsia="宋体" w:cs="宋体"/>
                <w:b/>
                <w:bCs/>
                <w:color w:val="000000"/>
                <w:sz w:val="21"/>
                <w:szCs w:val="21"/>
                <w:highlight w:val="none"/>
              </w:rPr>
            </w:r>
            <w:r/>
          </w:p>
          <w:p>
            <w:pPr>
              <w:pStyle w:val="801"/>
              <w:ind w:firstLine="422"/>
              <w:keepLines w:val="0"/>
              <w:keepNext w:val="0"/>
              <w:pageBreakBefore w:val="0"/>
              <w:spacing w:before="95" w:line="312" w:lineRule="auto"/>
              <w:widowControl w:val="off"/>
              <w:rPr>
                <w:rFonts w:hint="eastAsia" w:ascii="宋体" w:hAnsi="宋体" w:eastAsia="宋体" w:cs="宋体"/>
                <w:b/>
                <w:bCs/>
                <w:color w:val="000000"/>
                <w:sz w:val="21"/>
                <w:szCs w:val="21"/>
                <w:highlight w:val="none"/>
              </w:rPr>
              <w:framePr w:vAnchor="margin" w:hAnchor="page" w:xAlign="center" w:y="1"/>
            </w:pPr>
            <w:r>
              <w:rPr>
                <w:rFonts w:hint="eastAsia" w:ascii="宋体" w:hAnsi="宋体" w:eastAsia="宋体" w:cs="宋体"/>
                <w:b/>
                <w:bCs/>
                <w:color w:val="000000"/>
                <w:sz w:val="21"/>
                <w:szCs w:val="21"/>
                <w:highlight w:val="none"/>
              </w:rPr>
              <w:t xml:space="preserve">投标人应确保工程量固化全费用工程量清单投标报价单中的投标报价和投标函大写金额报价一致，否则将被否决投标。</w:t>
            </w:r>
            <w:r>
              <w:rPr>
                <w:rFonts w:hint="eastAsia" w:ascii="宋体" w:hAnsi="宋体" w:eastAsia="宋体" w:cs="宋体"/>
                <w:b/>
                <w:bCs/>
                <w:color w:val="000000"/>
                <w:sz w:val="21"/>
                <w:szCs w:val="21"/>
                <w:highlight w:val="none"/>
              </w:rPr>
            </w:r>
            <w:r/>
          </w:p>
          <w:p>
            <w:pPr>
              <w:pStyle w:val="801"/>
              <w:ind w:firstLine="420"/>
              <w:keepLines w:val="0"/>
              <w:keepNext w:val="0"/>
              <w:pageBreakBefore w:val="0"/>
              <w:spacing w:before="95" w:line="312" w:lineRule="auto"/>
              <w:widowControl w:val="off"/>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t xml:space="preserve">⒂评标过程中出现下列情形之一的，评标委员会应当启动异常低价投标审查程序：</w:t>
            </w:r>
            <w:r>
              <w:rPr>
                <w:rFonts w:hint="eastAsia" w:ascii="宋体" w:hAnsi="宋体" w:eastAsia="宋体" w:cs="宋体"/>
                <w:color w:val="000000"/>
                <w:sz w:val="21"/>
                <w:szCs w:val="21"/>
                <w:highlight w:val="none"/>
              </w:rPr>
            </w:r>
            <w:r/>
          </w:p>
          <w:p>
            <w:pPr>
              <w:pStyle w:val="801"/>
              <w:ind w:firstLine="420"/>
              <w:keepLines w:val="0"/>
              <w:keepNext w:val="0"/>
              <w:pageBreakBefore w:val="0"/>
              <w:spacing w:before="95" w:line="312" w:lineRule="auto"/>
              <w:widowControl w:val="off"/>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t xml:space="preserve">①投标报价低于全部通过符合性审查投标人投标报价平均值50%的，即投标报价＜全部通过符合性审查投标人投标报价平均值×50%；</w:t>
            </w:r>
            <w:r>
              <w:rPr>
                <w:rFonts w:hint="eastAsia" w:ascii="宋体" w:hAnsi="宋体" w:eastAsia="宋体" w:cs="宋体"/>
                <w:color w:val="000000"/>
                <w:sz w:val="21"/>
                <w:szCs w:val="21"/>
                <w:highlight w:val="none"/>
              </w:rPr>
            </w:r>
            <w:r/>
          </w:p>
          <w:p>
            <w:pPr>
              <w:pStyle w:val="801"/>
              <w:ind w:firstLine="420"/>
              <w:keepLines w:val="0"/>
              <w:keepNext w:val="0"/>
              <w:pageBreakBefore w:val="0"/>
              <w:spacing w:before="95" w:line="312" w:lineRule="auto"/>
              <w:widowControl w:val="off"/>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t xml:space="preserve">②投标报价低于通过符合性审查的次低报价投标人投标报价50%的，即投标报价＜通过符合性审查的次低报价投标人投标报价×50%；</w:t>
            </w:r>
            <w:r>
              <w:rPr>
                <w:rFonts w:hint="eastAsia" w:ascii="宋体" w:hAnsi="宋体" w:eastAsia="宋体" w:cs="宋体"/>
                <w:color w:val="000000"/>
                <w:sz w:val="21"/>
                <w:szCs w:val="21"/>
                <w:highlight w:val="none"/>
              </w:rPr>
            </w:r>
            <w:r/>
          </w:p>
          <w:p>
            <w:pPr>
              <w:pStyle w:val="801"/>
              <w:ind w:firstLine="420"/>
              <w:keepLines w:val="0"/>
              <w:keepNext w:val="0"/>
              <w:pageBreakBefore w:val="0"/>
              <w:spacing w:before="95" w:line="312" w:lineRule="auto"/>
              <w:widowControl w:val="off"/>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t xml:space="preserve">③投标报价低于招标项目最高限价45%的，即投标报价＜招标项目最高限价×45%；</w:t>
            </w:r>
            <w:r>
              <w:rPr>
                <w:rFonts w:hint="eastAsia" w:ascii="宋体" w:hAnsi="宋体" w:eastAsia="宋体" w:cs="宋体"/>
                <w:color w:val="000000"/>
                <w:sz w:val="21"/>
                <w:szCs w:val="21"/>
                <w:highlight w:val="none"/>
              </w:rPr>
            </w:r>
            <w:r/>
          </w:p>
          <w:p>
            <w:pPr>
              <w:pStyle w:val="801"/>
              <w:ind w:firstLine="420"/>
              <w:keepLines w:val="0"/>
              <w:keepNext w:val="0"/>
              <w:pageBreakBefore w:val="0"/>
              <w:spacing w:before="95" w:line="312" w:lineRule="auto"/>
              <w:widowControl w:val="off"/>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t xml:space="preserve">④评审委员会基于专业判断，认为投标人报价过低，有可能影响产品质量或者不能诚信履约的其他情形。</w:t>
            </w:r>
            <w:r>
              <w:rPr>
                <w:rFonts w:hint="eastAsia" w:ascii="宋体" w:hAnsi="宋体" w:eastAsia="宋体" w:cs="宋体"/>
                <w:color w:val="000000"/>
                <w:sz w:val="21"/>
                <w:szCs w:val="21"/>
                <w:highlight w:val="none"/>
              </w:rPr>
            </w:r>
            <w:r/>
          </w:p>
          <w:p>
            <w:pPr>
              <w:pStyle w:val="801"/>
              <w:ind w:firstLine="420"/>
              <w:keepLines w:val="0"/>
              <w:keepNext w:val="0"/>
              <w:pageBreakBefore w:val="0"/>
              <w:spacing w:before="95" w:line="312" w:lineRule="auto"/>
              <w:widowControl w:val="off"/>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t xml:space="preserve">评标委员会启动异常低价投标审查后，属于前述第1项至第4项情形的，应当要求相关投标人在评审现场合理的时间内对投标价格作出解释，提供项目具体成本测算等与报价合理性相关的书面说明及必要的证明材料，包括但不限于原材料成本、人工成本、制造费用等，给予相关投标人的合理时间一般不少于30分钟。其中，属于第3项情形，供应商已随投标文件一并提交相关书面说明及必要的证明材料的，在评审现场可不再重复提交。</w:t>
            </w:r>
            <w:r>
              <w:rPr>
                <w:rFonts w:hint="eastAsia" w:ascii="宋体" w:hAnsi="宋体" w:eastAsia="宋体" w:cs="宋体"/>
                <w:color w:val="000000"/>
                <w:sz w:val="21"/>
                <w:szCs w:val="21"/>
                <w:highlight w:val="none"/>
              </w:rPr>
            </w:r>
            <w:r/>
          </w:p>
          <w:p>
            <w:pPr>
              <w:pStyle w:val="801"/>
              <w:ind w:firstLine="420"/>
              <w:keepLines w:val="0"/>
              <w:keepNext w:val="0"/>
              <w:pageBreakBefore w:val="0"/>
              <w:spacing w:before="95" w:line="312" w:lineRule="auto"/>
              <w:widowControl w:val="off"/>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t xml:space="preserve">评标委员会依据专业经验，参考同类项目中标价格、类似产品市场价格水平、行业人工费用标准、国家有关部门指导行业协会发布的行业平均成本等情况，对报价合理性进行判断。投标人不能提供书面说明、证明材料，或者提供的书面说明、证明材料不能证明其报价合理性的，评标委员会应当将其作为无效投标处理。</w:t>
            </w:r>
            <w:r>
              <w:rPr>
                <w:rFonts w:hint="eastAsia" w:ascii="宋体" w:hAnsi="宋体" w:eastAsia="宋体" w:cs="宋体"/>
                <w:color w:val="000000"/>
                <w:sz w:val="21"/>
                <w:szCs w:val="21"/>
                <w:highlight w:val="none"/>
              </w:rPr>
            </w:r>
            <w:r/>
          </w:p>
          <w:p>
            <w:pPr>
              <w:pStyle w:val="801"/>
              <w:ind w:firstLine="420"/>
              <w:keepLines w:val="0"/>
              <w:keepNext w:val="0"/>
              <w:pageBreakBefore w:val="0"/>
              <w:spacing w:before="95" w:line="312" w:lineRule="auto"/>
              <w:widowControl w:val="off"/>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t xml:space="preserve">招标人、招标代理机构应当为评标委员会在评标现场及时获取同类项目中标（成交）价格、类似产品市场价格水平、行业人工费用标准、国家有关部门指导行业协会发布的行业平均成本等相关信息资料提供便利。评标委员会借助互联网等渠道查询相关信息的，应当严格遵守评标工作纪律，不得实施影响评标公正的行为。</w:t>
            </w:r>
            <w:r>
              <w:rPr>
                <w:rFonts w:hint="eastAsia" w:ascii="宋体" w:hAnsi="宋体" w:eastAsia="宋体" w:cs="宋体"/>
                <w:color w:val="000000"/>
                <w:sz w:val="21"/>
                <w:szCs w:val="21"/>
                <w:highlight w:val="none"/>
              </w:rPr>
            </w:r>
            <w:r/>
          </w:p>
          <w:p>
            <w:pPr>
              <w:pStyle w:val="801"/>
              <w:ind w:firstLine="420"/>
              <w:keepLines w:val="0"/>
              <w:keepNext w:val="0"/>
              <w:pageBreakBefore w:val="0"/>
              <w:spacing w:before="95" w:line="312" w:lineRule="auto"/>
              <w:widowControl w:val="off"/>
              <w:rPr>
                <w:rFonts w:hint="eastAsia" w:ascii="宋体" w:hAnsi="宋体" w:eastAsia="宋体" w:cs="宋体"/>
                <w:b/>
                <w:bCs/>
                <w:color w:val="000000"/>
                <w:sz w:val="21"/>
                <w:szCs w:val="21"/>
                <w:highlight w:val="none"/>
              </w:rPr>
              <w:framePr w:vAnchor="margin" w:hAnchor="page" w:xAlign="center" w:y="1"/>
            </w:pPr>
            <w:r>
              <w:rPr>
                <w:rFonts w:hint="eastAsia" w:ascii="宋体" w:hAnsi="宋体" w:eastAsia="宋体" w:cs="宋体"/>
                <w:color w:val="000000"/>
                <w:sz w:val="21"/>
                <w:szCs w:val="21"/>
                <w:highlight w:val="none"/>
              </w:rPr>
              <w:t xml:space="preserve">异常低价投标审查的启动原因、审查意见和审查结果应当在评标报告中记录，并随投标人提供的相关书面说明及证明材料，以及评标委员会有关互联网浏览、查询历史一并归档。</w:t>
            </w:r>
            <w:r>
              <w:rPr>
                <w:rFonts w:hint="eastAsia" w:ascii="宋体" w:hAnsi="宋体" w:eastAsia="宋体" w:cs="宋体"/>
                <w:b/>
                <w:bCs/>
                <w:color w:val="000000"/>
                <w:sz w:val="21"/>
                <w:szCs w:val="21"/>
                <w:highlight w:val="none"/>
              </w:rPr>
            </w:r>
            <w:r/>
          </w:p>
        </w:tc>
      </w:tr>
      <w:tr>
        <w:trPr>
          <w:trHeight w:val="939"/>
        </w:trPr>
        <w:tc>
          <w:tcPr>
            <w:tcW w:w="537" w:type="dxa"/>
            <w:vAlign w:val="center"/>
            <w:textDirection w:val="lrTb"/>
            <w:noWrap w:val="false"/>
          </w:tcPr>
          <w:p>
            <w:pPr>
              <w:pStyle w:val="801"/>
              <w:ind w:hanging="10"/>
              <w:jc w:val="center"/>
              <w:keepLines w:val="0"/>
              <w:keepNext w:val="0"/>
              <w:pageBreakBefore w:val="0"/>
              <w:spacing w:before="157" w:line="300" w:lineRule="auto"/>
              <w:widowControl w:val="off"/>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t xml:space="preserve">15.2</w:t>
            </w:r>
            <w:r>
              <w:rPr>
                <w:rFonts w:hint="eastAsia" w:ascii="宋体" w:hAnsi="宋体" w:eastAsia="宋体" w:cs="宋体"/>
                <w:color w:val="000000"/>
                <w:sz w:val="21"/>
                <w:szCs w:val="21"/>
                <w:highlight w:val="none"/>
              </w:rPr>
            </w:r>
            <w:r/>
          </w:p>
        </w:tc>
        <w:tc>
          <w:tcPr>
            <w:gridSpan w:val="2"/>
            <w:tcW w:w="8157" w:type="dxa"/>
            <w:vAlign w:val="center"/>
            <w:textDirection w:val="lrTb"/>
            <w:noWrap w:val="false"/>
          </w:tcPr>
          <w:p>
            <w:pPr>
              <w:pStyle w:val="801"/>
              <w:ind w:hanging="10"/>
              <w:keepLines w:val="0"/>
              <w:keepNext w:val="0"/>
              <w:pageBreakBefore w:val="0"/>
              <w:spacing w:before="95" w:line="312" w:lineRule="auto"/>
              <w:widowControl w:val="off"/>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b/>
                <w:color w:val="000000"/>
                <w:sz w:val="21"/>
                <w:szCs w:val="21"/>
                <w:highlight w:val="none"/>
              </w:rPr>
              <w:t xml:space="preserve">本项目</w:t>
            </w:r>
            <w:r>
              <w:rPr>
                <w:rFonts w:hint="eastAsia" w:ascii="宋体" w:hAnsi="宋体" w:eastAsia="宋体" w:cs="宋体"/>
                <w:b/>
                <w:color w:val="000000"/>
                <w:sz w:val="21"/>
                <w:szCs w:val="21"/>
                <w:highlight w:val="none"/>
                <w:lang w:val="en-US" w:eastAsia="zh-CN"/>
              </w:rPr>
              <w:t xml:space="preserve">发包</w:t>
            </w:r>
            <w:r>
              <w:rPr>
                <w:rFonts w:hint="eastAsia" w:ascii="宋体" w:hAnsi="宋体" w:eastAsia="宋体" w:cs="宋体"/>
                <w:b/>
                <w:color w:val="000000"/>
                <w:sz w:val="21"/>
                <w:szCs w:val="21"/>
                <w:highlight w:val="none"/>
              </w:rPr>
              <w:t xml:space="preserve">人：</w:t>
            </w:r>
            <w:r>
              <w:rPr>
                <w:rFonts w:hint="eastAsia" w:ascii="宋体" w:hAnsi="宋体" w:eastAsia="宋体" w:cs="宋体"/>
                <w:b/>
                <w:color w:val="000000"/>
                <w:sz w:val="21"/>
                <w:szCs w:val="21"/>
                <w:highlight w:val="none"/>
                <w:lang w:val="en-US" w:eastAsia="zh-CN"/>
              </w:rPr>
              <w:t xml:space="preserve">苏北航务管理处扬州航务中心</w:t>
            </w:r>
            <w:r>
              <w:rPr>
                <w:rFonts w:hint="eastAsia" w:ascii="宋体" w:hAnsi="宋体" w:eastAsia="宋体" w:cs="宋体"/>
                <w:b/>
                <w:color w:val="000000"/>
                <w:sz w:val="21"/>
                <w:szCs w:val="21"/>
                <w:highlight w:val="none"/>
              </w:rPr>
              <w:t xml:space="preserve">。后续由</w:t>
            </w:r>
            <w:r>
              <w:rPr>
                <w:rFonts w:hint="eastAsia" w:ascii="宋体" w:hAnsi="宋体" w:eastAsia="宋体" w:cs="宋体"/>
                <w:b/>
                <w:color w:val="000000"/>
                <w:sz w:val="21"/>
                <w:szCs w:val="21"/>
                <w:highlight w:val="none"/>
                <w:lang w:val="en-US" w:eastAsia="zh-CN"/>
              </w:rPr>
              <w:t xml:space="preserve">发包</w:t>
            </w:r>
            <w:r>
              <w:rPr>
                <w:rFonts w:hint="eastAsia" w:ascii="宋体" w:hAnsi="宋体" w:eastAsia="宋体" w:cs="宋体"/>
                <w:b/>
                <w:color w:val="000000"/>
                <w:sz w:val="21"/>
                <w:szCs w:val="21"/>
                <w:highlight w:val="none"/>
              </w:rPr>
              <w:t xml:space="preserve">人与本项目承包人签订合同，履行相关权利义务。</w:t>
            </w:r>
            <w:r>
              <w:rPr>
                <w:rFonts w:hint="eastAsia" w:ascii="宋体" w:hAnsi="宋体" w:eastAsia="宋体" w:cs="宋体"/>
                <w:color w:val="000000"/>
                <w:sz w:val="21"/>
                <w:szCs w:val="21"/>
                <w:highlight w:val="none"/>
              </w:rPr>
            </w:r>
            <w:r/>
          </w:p>
        </w:tc>
      </w:tr>
      <w:tr>
        <w:trPr>
          <w:trHeight w:val="698"/>
        </w:trPr>
        <w:tc>
          <w:tcPr>
            <w:tcW w:w="537" w:type="dxa"/>
            <w:vAlign w:val="center"/>
            <w:textDirection w:val="lrTb"/>
            <w:noWrap w:val="false"/>
          </w:tcPr>
          <w:p>
            <w:pPr>
              <w:pStyle w:val="801"/>
              <w:ind w:hanging="10"/>
              <w:jc w:val="center"/>
              <w:keepLines w:val="0"/>
              <w:keepNext w:val="0"/>
              <w:pageBreakBefore w:val="0"/>
              <w:spacing w:before="157" w:line="300" w:lineRule="auto"/>
              <w:widowControl w:val="off"/>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t xml:space="preserve">15.3</w:t>
            </w:r>
            <w:r>
              <w:rPr>
                <w:rFonts w:hint="eastAsia" w:ascii="宋体" w:hAnsi="宋体" w:eastAsia="宋体" w:cs="宋体"/>
                <w:color w:val="000000"/>
                <w:sz w:val="21"/>
                <w:szCs w:val="21"/>
                <w:highlight w:val="none"/>
              </w:rPr>
            </w:r>
            <w:r/>
          </w:p>
        </w:tc>
        <w:tc>
          <w:tcPr>
            <w:gridSpan w:val="2"/>
            <w:tcW w:w="8157" w:type="dxa"/>
            <w:vAlign w:val="center"/>
            <w:textDirection w:val="lrTb"/>
            <w:noWrap w:val="false"/>
          </w:tcPr>
          <w:p>
            <w:pPr>
              <w:pStyle w:val="801"/>
              <w:ind w:hanging="10"/>
              <w:spacing w:line="440" w:lineRule="exact"/>
              <w:rPr>
                <w:rFonts w:hint="eastAsia"/>
                <w:color w:val="000000"/>
                <w:szCs w:val="21"/>
                <w:highlight w:val="none"/>
              </w:rPr>
              <w:framePr w:vAnchor="margin" w:hAnchor="page" w:xAlign="center" w:y="1"/>
            </w:pPr>
            <w:r>
              <w:rPr>
                <w:rFonts w:hint="eastAsia"/>
                <w:color w:val="000000"/>
                <w:szCs w:val="21"/>
                <w:highlight w:val="none"/>
              </w:rPr>
              <w:t xml:space="preserve">监督部门：苏北航务管理处纪律检查室</w:t>
            </w:r>
            <w:r>
              <w:rPr>
                <w:rFonts w:hint="eastAsia"/>
                <w:color w:val="000000"/>
                <w:szCs w:val="21"/>
                <w:highlight w:val="none"/>
              </w:rPr>
            </w:r>
            <w:r/>
          </w:p>
          <w:p>
            <w:pPr>
              <w:pStyle w:val="801"/>
              <w:ind w:hanging="10"/>
              <w:spacing w:line="440" w:lineRule="exact"/>
              <w:rPr>
                <w:rFonts w:hint="eastAsia"/>
                <w:color w:val="000000"/>
                <w:szCs w:val="21"/>
                <w:highlight w:val="none"/>
              </w:rPr>
              <w:framePr w:vAnchor="margin" w:hAnchor="page" w:xAlign="center" w:y="1"/>
            </w:pPr>
            <w:r>
              <w:rPr>
                <w:rFonts w:hint="eastAsia"/>
                <w:color w:val="000000"/>
                <w:szCs w:val="21"/>
                <w:highlight w:val="none"/>
              </w:rPr>
              <w:t xml:space="preserve">举报电话：0517-83530075</w:t>
            </w:r>
            <w:r>
              <w:rPr>
                <w:rFonts w:hint="eastAsia"/>
                <w:color w:val="000000"/>
                <w:szCs w:val="21"/>
                <w:highlight w:val="none"/>
              </w:rPr>
            </w:r>
            <w:r/>
          </w:p>
          <w:p>
            <w:pPr>
              <w:pStyle w:val="801"/>
              <w:ind w:hanging="10"/>
              <w:spacing w:line="440" w:lineRule="exact"/>
              <w:rPr>
                <w:rFonts w:hint="eastAsia"/>
                <w:color w:val="000000"/>
                <w:szCs w:val="21"/>
                <w:highlight w:val="none"/>
              </w:rPr>
              <w:framePr w:vAnchor="margin" w:hAnchor="page" w:xAlign="center" w:y="1"/>
            </w:pPr>
            <w:r>
              <w:rPr>
                <w:rFonts w:hint="eastAsia"/>
                <w:color w:val="000000"/>
                <w:szCs w:val="21"/>
                <w:highlight w:val="none"/>
              </w:rPr>
              <w:t xml:space="preserve">地址：淮安市延安东路68号</w:t>
            </w:r>
            <w:r>
              <w:rPr>
                <w:rFonts w:hint="eastAsia"/>
                <w:color w:val="000000"/>
                <w:szCs w:val="21"/>
                <w:highlight w:val="none"/>
              </w:rPr>
            </w:r>
            <w:r/>
          </w:p>
          <w:p>
            <w:pPr>
              <w:pStyle w:val="801"/>
              <w:keepLines w:val="0"/>
              <w:keepNext w:val="0"/>
              <w:pageBreakBefore w:val="0"/>
              <w:spacing w:before="95" w:line="312" w:lineRule="auto"/>
              <w:widowControl w:val="off"/>
              <w:rPr>
                <w:rFonts w:hint="eastAsia" w:ascii="宋体" w:hAnsi="宋体" w:eastAsia="宋体" w:cs="宋体"/>
                <w:color w:val="000000"/>
                <w:sz w:val="21"/>
                <w:szCs w:val="21"/>
                <w:highlight w:val="none"/>
              </w:rPr>
              <w:framePr w:vAnchor="margin" w:hAnchor="page" w:xAlign="center" w:y="1"/>
            </w:pPr>
            <w:r>
              <w:rPr>
                <w:rFonts w:hint="eastAsia"/>
                <w:color w:val="000000"/>
                <w:szCs w:val="21"/>
                <w:highlight w:val="none"/>
              </w:rPr>
              <w:t xml:space="preserve">邮编：223002</w:t>
            </w:r>
            <w:r>
              <w:rPr>
                <w:rFonts w:hint="eastAsia" w:ascii="宋体" w:hAnsi="宋体" w:eastAsia="宋体" w:cs="宋体"/>
                <w:color w:val="000000"/>
                <w:sz w:val="21"/>
                <w:szCs w:val="21"/>
                <w:highlight w:val="none"/>
              </w:rPr>
            </w:r>
            <w:r/>
          </w:p>
        </w:tc>
      </w:tr>
    </w:tbl>
    <w:p>
      <w:pPr>
        <w:pStyle w:val="801"/>
        <w:keepLines w:val="0"/>
        <w:keepNext w:val="0"/>
        <w:pageBreakBefore w:val="0"/>
        <w:widowControl w:val="off"/>
        <w:rPr>
          <w:rFonts w:hint="eastAsia" w:ascii="宋体" w:hAnsi="宋体" w:eastAsia="宋体" w:cs="宋体"/>
          <w:b/>
          <w:color w:val="000000"/>
          <w:sz w:val="24"/>
          <w:szCs w:val="24"/>
          <w:highlight w:val="none"/>
        </w:rPr>
      </w:pPr>
      <w:r/>
      <w:bookmarkEnd w:id="111"/>
      <w:r>
        <w:rPr>
          <w:rFonts w:hint="eastAsia" w:ascii="宋体" w:hAnsi="宋体" w:eastAsia="宋体" w:cs="宋体"/>
          <w:b/>
          <w:color w:val="000000"/>
          <w:sz w:val="24"/>
          <w:szCs w:val="24"/>
          <w:highlight w:val="none"/>
        </w:rPr>
        <w:t xml:space="preserve">一、总则</w:t>
      </w:r>
      <w:r>
        <w:rPr>
          <w:rFonts w:hint="eastAsia" w:ascii="宋体" w:hAnsi="宋体" w:eastAsia="宋体" w:cs="宋体"/>
          <w:b/>
          <w:color w:val="000000"/>
          <w:sz w:val="24"/>
          <w:szCs w:val="24"/>
          <w:highlight w:val="none"/>
        </w:rPr>
      </w:r>
      <w:r/>
    </w:p>
    <w:p>
      <w:pPr>
        <w:pStyle w:val="801"/>
        <w:keepLines w:val="0"/>
        <w:keepNext w:val="0"/>
        <w:pageBreakBefore w:val="0"/>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1．招标方式</w:t>
      </w:r>
      <w:r>
        <w:rPr>
          <w:rFonts w:hint="eastAsia" w:ascii="宋体" w:hAnsi="宋体" w:eastAsia="宋体" w:cs="宋体"/>
          <w:b/>
          <w:color w:val="000000"/>
          <w:sz w:val="24"/>
          <w:szCs w:val="24"/>
          <w:highlight w:val="none"/>
        </w:rPr>
      </w:r>
      <w:r/>
    </w:p>
    <w:p>
      <w:pPr>
        <w:pStyle w:val="801"/>
        <w:ind w:firstLine="48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 本次招标采取公开招标方式，本招标文件仅适用于招标公告中所述项目。</w:t>
      </w:r>
      <w:r>
        <w:rPr>
          <w:rFonts w:hint="eastAsia" w:ascii="宋体" w:hAnsi="宋体" w:eastAsia="宋体" w:cs="宋体"/>
          <w:color w:val="000000"/>
          <w:sz w:val="24"/>
          <w:szCs w:val="24"/>
          <w:highlight w:val="none"/>
        </w:rPr>
      </w:r>
      <w:r/>
    </w:p>
    <w:p>
      <w:pPr>
        <w:pStyle w:val="801"/>
        <w:keepLines w:val="0"/>
        <w:keepNext w:val="0"/>
        <w:pageBreakBefore w:val="0"/>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2．合格的投标人</w:t>
      </w:r>
      <w:r>
        <w:rPr>
          <w:rFonts w:hint="eastAsia" w:ascii="宋体" w:hAnsi="宋体" w:eastAsia="宋体" w:cs="宋体"/>
          <w:b/>
          <w:color w:val="000000"/>
          <w:sz w:val="24"/>
          <w:szCs w:val="24"/>
          <w:highlight w:val="none"/>
        </w:rPr>
      </w:r>
      <w:r/>
    </w:p>
    <w:p>
      <w:pPr>
        <w:pStyle w:val="801"/>
        <w:ind w:firstLine="48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 满足招标公告中投标人的资格要求的规定。</w:t>
      </w:r>
      <w:r>
        <w:rPr>
          <w:rFonts w:hint="eastAsia" w:ascii="宋体" w:hAnsi="宋体" w:eastAsia="宋体" w:cs="宋体"/>
          <w:color w:val="000000"/>
          <w:sz w:val="24"/>
          <w:szCs w:val="24"/>
          <w:highlight w:val="none"/>
        </w:rPr>
      </w:r>
      <w:r/>
    </w:p>
    <w:p>
      <w:pPr>
        <w:pStyle w:val="801"/>
        <w:ind w:firstLine="48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 满足本文件实质性条款的规定。</w:t>
      </w:r>
      <w:r>
        <w:rPr>
          <w:rFonts w:hint="eastAsia" w:ascii="宋体" w:hAnsi="宋体" w:eastAsia="宋体" w:cs="宋体"/>
          <w:color w:val="000000"/>
          <w:sz w:val="24"/>
          <w:szCs w:val="24"/>
          <w:highlight w:val="none"/>
        </w:rPr>
      </w:r>
      <w:r/>
    </w:p>
    <w:p>
      <w:pPr>
        <w:pStyle w:val="801"/>
        <w:ind w:firstLine="48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2.3投标人须知前附表规定接受联合体投标的，除应符合招标公告和投标人须知前附表的要求外，还应遵守以下规定： </w:t>
      </w:r>
      <w:r>
        <w:rPr>
          <w:rFonts w:hint="eastAsia" w:ascii="宋体" w:hAnsi="宋体" w:eastAsia="宋体" w:cs="宋体"/>
          <w:color w:val="000000"/>
          <w:sz w:val="24"/>
          <w:szCs w:val="24"/>
          <w:highlight w:val="none"/>
        </w:rPr>
      </w:r>
      <w:r/>
    </w:p>
    <w:p>
      <w:pPr>
        <w:pStyle w:val="801"/>
        <w:ind w:firstLine="48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⑴联合体各方应按招标文件提供的格式签订联合体协议书，明确联合体牵头人和各方权利义务；</w:t>
      </w:r>
      <w:r>
        <w:rPr>
          <w:rFonts w:hint="eastAsia" w:ascii="宋体" w:hAnsi="宋体" w:eastAsia="宋体" w:cs="宋体"/>
          <w:color w:val="000000"/>
          <w:sz w:val="24"/>
          <w:szCs w:val="24"/>
          <w:highlight w:val="none"/>
        </w:rPr>
      </w:r>
      <w:r/>
    </w:p>
    <w:p>
      <w:pPr>
        <w:pStyle w:val="801"/>
        <w:ind w:firstLine="48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⑵联合体各方不得再以自己名义单独或参加其他联合体在同一标段中投标；</w:t>
      </w:r>
      <w:r>
        <w:rPr>
          <w:rFonts w:hint="eastAsia" w:ascii="宋体" w:hAnsi="宋体" w:eastAsia="宋体" w:cs="宋体"/>
          <w:color w:val="000000"/>
          <w:sz w:val="24"/>
          <w:szCs w:val="24"/>
          <w:highlight w:val="none"/>
        </w:rPr>
      </w:r>
      <w:r/>
    </w:p>
    <w:p>
      <w:pPr>
        <w:pStyle w:val="801"/>
        <w:ind w:firstLine="48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⑶联合体所有成员数量不得超过招标公告规定的数量；</w:t>
      </w:r>
      <w:r>
        <w:rPr>
          <w:rFonts w:hint="eastAsia" w:ascii="宋体" w:hAnsi="宋体" w:eastAsia="宋体" w:cs="宋体"/>
          <w:color w:val="000000"/>
          <w:sz w:val="24"/>
          <w:szCs w:val="24"/>
          <w:highlight w:val="none"/>
        </w:rPr>
      </w:r>
      <w:r/>
    </w:p>
    <w:p>
      <w:pPr>
        <w:pStyle w:val="801"/>
        <w:ind w:firstLine="48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⑷联合体各方应分别按照本招标文件的要求，填写投标文件中的相应表格，并由联合体牵头人负责对联合体各成员的资料进行统一汇总后一并提交给招标人；联合体牵头人所提交的投标文件应认为已代表了联合体各成员的真实情况；</w:t>
      </w:r>
      <w:r>
        <w:rPr>
          <w:rFonts w:hint="eastAsia" w:ascii="宋体" w:hAnsi="宋体" w:eastAsia="宋体" w:cs="宋体"/>
          <w:color w:val="000000"/>
          <w:sz w:val="24"/>
          <w:szCs w:val="24"/>
          <w:highlight w:val="none"/>
        </w:rPr>
      </w:r>
      <w:r/>
    </w:p>
    <w:p>
      <w:pPr>
        <w:pStyle w:val="801"/>
        <w:ind w:firstLine="48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⑸尽管委任了联合体牵头人，但联合体各成员在投标、签约与履行合同过程中，仍负有连带的和各自的法律责任。</w:t>
      </w:r>
      <w:r>
        <w:rPr>
          <w:rFonts w:hint="eastAsia" w:ascii="宋体" w:hAnsi="宋体" w:eastAsia="宋体" w:cs="宋体"/>
          <w:color w:val="000000"/>
          <w:sz w:val="24"/>
          <w:szCs w:val="24"/>
          <w:highlight w:val="none"/>
        </w:rPr>
      </w:r>
      <w:r/>
    </w:p>
    <w:p>
      <w:pPr>
        <w:pStyle w:val="801"/>
        <w:keepLines w:val="0"/>
        <w:keepNext w:val="0"/>
        <w:pageBreakBefore w:val="0"/>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3．适用法律</w:t>
      </w:r>
      <w:r>
        <w:rPr>
          <w:rFonts w:hint="eastAsia" w:ascii="宋体" w:hAnsi="宋体" w:eastAsia="宋体" w:cs="宋体"/>
          <w:b/>
          <w:color w:val="000000"/>
          <w:sz w:val="24"/>
          <w:szCs w:val="24"/>
          <w:highlight w:val="none"/>
        </w:rPr>
      </w:r>
      <w:r/>
    </w:p>
    <w:p>
      <w:pPr>
        <w:pStyle w:val="801"/>
        <w:ind w:firstLine="48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 本次招标及由此产生的合同受中华人民共和国有关的法律法规制约和保护。</w:t>
      </w:r>
      <w:r>
        <w:rPr>
          <w:rFonts w:hint="eastAsia" w:ascii="宋体" w:hAnsi="宋体" w:eastAsia="宋体" w:cs="宋体"/>
          <w:color w:val="000000"/>
          <w:sz w:val="24"/>
          <w:szCs w:val="24"/>
          <w:highlight w:val="none"/>
        </w:rPr>
      </w:r>
      <w:r/>
    </w:p>
    <w:p>
      <w:pPr>
        <w:pStyle w:val="801"/>
        <w:keepLines w:val="0"/>
        <w:keepNext w:val="0"/>
        <w:pageBreakBefore w:val="0"/>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4. 政策功能</w:t>
      </w:r>
      <w:r>
        <w:rPr>
          <w:rFonts w:hint="eastAsia" w:ascii="宋体" w:hAnsi="宋体" w:eastAsia="宋体" w:cs="宋体"/>
          <w:b/>
          <w:color w:val="000000"/>
          <w:sz w:val="24"/>
          <w:szCs w:val="24"/>
          <w:highlight w:val="none"/>
        </w:rPr>
      </w:r>
      <w:r/>
    </w:p>
    <w:p>
      <w:pPr>
        <w:pStyle w:val="801"/>
        <w:ind w:firstLine="480"/>
        <w:keepLines w:val="0"/>
        <w:keepNext w:val="0"/>
        <w:pageBreakBefore w:val="0"/>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4.1政府采购促进中小企业发展，在政府采购活动中，投标人提供的货物、工程或者服务符合《政府采购促进中小企业发展管理办法》（财库〔2020〕46号）的规定的，享受中小企业扶持政策。中小企业参加政府采购活动，应当出具《中小企业声明函》（格式见附件），否则不得享受相关中小企业扶持政策。（“中小企业划型标准”详见《关于印发中小企业划型标准规定的通知》工信部联企业〔2011〕300号及《国家统计局关于印发&lt;统计上大中小微型企业划分办法（2017）&gt;的通知》国统字〔2017〕213号）。</w:t>
      </w:r>
      <w:r>
        <w:rPr>
          <w:rFonts w:hint="eastAsia" w:ascii="宋体" w:hAnsi="宋体" w:eastAsia="宋体" w:cs="宋体"/>
          <w:bCs/>
          <w:color w:val="000000"/>
          <w:sz w:val="24"/>
          <w:szCs w:val="24"/>
          <w:highlight w:val="none"/>
        </w:rPr>
      </w:r>
      <w:r/>
    </w:p>
    <w:p>
      <w:pPr>
        <w:pStyle w:val="801"/>
        <w:ind w:firstLine="480"/>
        <w:keepLines w:val="0"/>
        <w:keepNext w:val="0"/>
        <w:pageBreakBefore w:val="0"/>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r>
        <w:rPr>
          <w:rFonts w:hint="eastAsia" w:ascii="宋体" w:hAnsi="宋体" w:eastAsia="宋体" w:cs="宋体"/>
          <w:bCs/>
          <w:color w:val="000000"/>
          <w:sz w:val="24"/>
          <w:szCs w:val="24"/>
          <w:highlight w:val="none"/>
        </w:rPr>
      </w:r>
      <w:r/>
    </w:p>
    <w:p>
      <w:pPr>
        <w:pStyle w:val="801"/>
        <w:ind w:firstLine="480"/>
        <w:keepLines w:val="0"/>
        <w:keepNext w:val="0"/>
        <w:pageBreakBefore w:val="0"/>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rPr>
          <w:rFonts w:hint="eastAsia" w:ascii="宋体" w:hAnsi="宋体" w:eastAsia="宋体" w:cs="宋体"/>
          <w:bCs/>
          <w:color w:val="000000"/>
          <w:sz w:val="24"/>
          <w:szCs w:val="24"/>
          <w:highlight w:val="none"/>
        </w:rPr>
      </w:r>
      <w:r/>
    </w:p>
    <w:p>
      <w:pPr>
        <w:pStyle w:val="801"/>
        <w:ind w:firstLine="480"/>
        <w:keepLines w:val="0"/>
        <w:keepNext w:val="0"/>
        <w:pageBreakBefore w:val="0"/>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投标人应当提供国家确定的认证机构出具的、处于有效期之内的节能产品、环境标志产品认证证书。</w:t>
      </w:r>
      <w:r>
        <w:rPr>
          <w:rFonts w:hint="eastAsia" w:ascii="宋体" w:hAnsi="宋体" w:eastAsia="宋体" w:cs="宋体"/>
          <w:bCs/>
          <w:color w:val="000000"/>
          <w:sz w:val="24"/>
          <w:szCs w:val="24"/>
          <w:highlight w:val="none"/>
        </w:rPr>
      </w:r>
      <w:r/>
    </w:p>
    <w:p>
      <w:pPr>
        <w:pStyle w:val="801"/>
        <w:ind w:firstLine="480"/>
        <w:keepLines w:val="0"/>
        <w:keepNext w:val="0"/>
        <w:pageBreakBefore w:val="0"/>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4.5强制采购信息安全产品。参加政府采购活动的信息安全产品投标人应当选择经国家认证的信息安全产品投标，并提供由国家信息安全认证中心按国家标准认证颁发的有效认证证书。</w:t>
      </w:r>
      <w:r>
        <w:rPr>
          <w:rFonts w:hint="eastAsia" w:ascii="宋体" w:hAnsi="宋体" w:eastAsia="宋体" w:cs="宋体"/>
          <w:bCs/>
          <w:color w:val="000000"/>
          <w:sz w:val="24"/>
          <w:szCs w:val="24"/>
          <w:highlight w:val="none"/>
        </w:rPr>
      </w:r>
      <w:r/>
    </w:p>
    <w:p>
      <w:pPr>
        <w:pStyle w:val="801"/>
        <w:ind w:firstLine="480"/>
        <w:keepLines w:val="0"/>
        <w:keepNext w:val="0"/>
        <w:pageBreakBefore w:val="0"/>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4.6未按要求提供相关材料的，不享受相关政策。</w:t>
      </w:r>
      <w:r>
        <w:rPr>
          <w:rFonts w:hint="eastAsia" w:ascii="宋体" w:hAnsi="宋体" w:eastAsia="宋体" w:cs="宋体"/>
          <w:bCs/>
          <w:color w:val="000000"/>
          <w:sz w:val="24"/>
          <w:szCs w:val="24"/>
          <w:highlight w:val="none"/>
        </w:rPr>
      </w:r>
      <w:r/>
    </w:p>
    <w:p>
      <w:pPr>
        <w:pStyle w:val="801"/>
        <w:keepLines w:val="0"/>
        <w:keepNext w:val="0"/>
        <w:pageBreakBefore w:val="0"/>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5．投标费用</w:t>
      </w:r>
      <w:r>
        <w:rPr>
          <w:rFonts w:hint="eastAsia" w:ascii="宋体" w:hAnsi="宋体" w:eastAsia="宋体" w:cs="宋体"/>
          <w:b/>
          <w:color w:val="000000"/>
          <w:sz w:val="24"/>
          <w:szCs w:val="24"/>
          <w:highlight w:val="none"/>
        </w:rPr>
      </w:r>
      <w:r/>
    </w:p>
    <w:p>
      <w:pPr>
        <w:pStyle w:val="801"/>
        <w:ind w:firstLine="48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5.1 投标人应自行承担所有与参加投标有关的费用，无论投标过程中的做法和结果如何，招标人、招标代理机构在任何情况下均无义务和责任承担这些费用。</w:t>
      </w:r>
      <w:r>
        <w:rPr>
          <w:rFonts w:hint="eastAsia" w:ascii="宋体" w:hAnsi="宋体" w:eastAsia="宋体" w:cs="宋体"/>
          <w:color w:val="000000"/>
          <w:sz w:val="24"/>
          <w:szCs w:val="24"/>
          <w:highlight w:val="none"/>
        </w:rPr>
      </w:r>
      <w:r/>
    </w:p>
    <w:p>
      <w:pPr>
        <w:pStyle w:val="801"/>
        <w:ind w:firstLine="480"/>
        <w:keepLines w:val="0"/>
        <w:keepNext w:val="0"/>
        <w:pageBreakBefore w:val="0"/>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5.2 </w:t>
      </w:r>
      <w:r>
        <w:rPr>
          <w:rFonts w:hint="eastAsia" w:ascii="宋体" w:hAnsi="宋体" w:eastAsia="宋体" w:cs="宋体"/>
          <w:color w:val="000000"/>
          <w:sz w:val="24"/>
          <w:szCs w:val="24"/>
          <w:highlight w:val="none"/>
          <w:lang w:val="en-US" w:eastAsia="zh-CN"/>
        </w:rPr>
        <w:t xml:space="preserve">本次招标代理服务费和造价咨询服务费、评审费由发包人支付。</w:t>
      </w:r>
      <w:r>
        <w:rPr>
          <w:rFonts w:ascii="宋体" w:hAnsi="宋体" w:eastAsia="宋体" w:cs="宋体"/>
          <w:color w:val="000000"/>
          <w:sz w:val="24"/>
          <w:szCs w:val="24"/>
          <w:highlight w:val="none"/>
          <w:lang w:val="en-US" w:eastAsia="zh-CN"/>
        </w:rPr>
      </w:r>
      <w:r/>
    </w:p>
    <w:p>
      <w:pPr>
        <w:pStyle w:val="801"/>
        <w:keepLines w:val="0"/>
        <w:keepNext w:val="0"/>
        <w:pageBreakBefore w:val="0"/>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6．招标文件的约束力</w:t>
      </w:r>
      <w:r>
        <w:rPr>
          <w:rFonts w:hint="eastAsia" w:ascii="宋体" w:hAnsi="宋体" w:eastAsia="宋体" w:cs="宋体"/>
          <w:b/>
          <w:color w:val="000000"/>
          <w:sz w:val="24"/>
          <w:szCs w:val="24"/>
          <w:highlight w:val="none"/>
        </w:rPr>
      </w:r>
      <w:r/>
    </w:p>
    <w:p>
      <w:pPr>
        <w:pStyle w:val="801"/>
        <w:ind w:firstLine="48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6.1 投标人一旦领取本招标文件决定参加投标，即被认为接受了本招标文件的规定和约束，并且视为自招标公告发布之日起已经知道或应当知道自身权益是否受到了损害。</w:t>
      </w:r>
      <w:r>
        <w:rPr>
          <w:rFonts w:hint="eastAsia" w:ascii="宋体" w:hAnsi="宋体" w:eastAsia="宋体" w:cs="宋体"/>
          <w:color w:val="000000"/>
          <w:sz w:val="24"/>
          <w:szCs w:val="24"/>
          <w:highlight w:val="none"/>
        </w:rPr>
      </w:r>
      <w:r/>
    </w:p>
    <w:p>
      <w:pPr>
        <w:pStyle w:val="801"/>
        <w:keepLines w:val="0"/>
        <w:keepNext w:val="0"/>
        <w:pageBreakBefore w:val="0"/>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二、招标文件</w:t>
      </w:r>
      <w:r>
        <w:rPr>
          <w:rFonts w:hint="eastAsia" w:ascii="宋体" w:hAnsi="宋体" w:eastAsia="宋体" w:cs="宋体"/>
          <w:b/>
          <w:color w:val="000000"/>
          <w:sz w:val="24"/>
          <w:szCs w:val="24"/>
          <w:highlight w:val="none"/>
        </w:rPr>
      </w:r>
      <w:r/>
    </w:p>
    <w:p>
      <w:pPr>
        <w:pStyle w:val="801"/>
        <w:keepLines w:val="0"/>
        <w:keepNext w:val="0"/>
        <w:pageBreakBefore w:val="0"/>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7．招标文件构成</w:t>
      </w:r>
      <w:r>
        <w:rPr>
          <w:rFonts w:hint="eastAsia" w:ascii="宋体" w:hAnsi="宋体" w:eastAsia="宋体" w:cs="宋体"/>
          <w:b/>
          <w:color w:val="000000"/>
          <w:sz w:val="24"/>
          <w:szCs w:val="24"/>
          <w:highlight w:val="none"/>
        </w:rPr>
      </w:r>
      <w:r/>
    </w:p>
    <w:p>
      <w:pPr>
        <w:pStyle w:val="801"/>
        <w:ind w:firstLine="48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7.1 招标文件由以下部分组成：</w:t>
      </w:r>
      <w:r>
        <w:rPr>
          <w:rFonts w:hint="eastAsia" w:ascii="宋体" w:hAnsi="宋体" w:eastAsia="宋体" w:cs="宋体"/>
          <w:color w:val="000000"/>
          <w:sz w:val="24"/>
          <w:szCs w:val="24"/>
          <w:highlight w:val="none"/>
        </w:rPr>
      </w:r>
      <w:r/>
    </w:p>
    <w:p>
      <w:pPr>
        <w:pStyle w:val="801"/>
        <w:ind w:firstLine="48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第一章  招标公告</w:t>
      </w:r>
      <w:r>
        <w:rPr>
          <w:rFonts w:hint="eastAsia" w:ascii="宋体" w:hAnsi="宋体" w:eastAsia="宋体" w:cs="宋体"/>
          <w:color w:val="000000"/>
          <w:sz w:val="24"/>
          <w:szCs w:val="24"/>
          <w:highlight w:val="none"/>
        </w:rPr>
      </w:r>
      <w:r/>
    </w:p>
    <w:p>
      <w:pPr>
        <w:pStyle w:val="801"/>
        <w:ind w:firstLine="48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第二章  投标人须知</w:t>
      </w:r>
      <w:r>
        <w:rPr>
          <w:rFonts w:hint="eastAsia" w:ascii="宋体" w:hAnsi="宋体" w:eastAsia="宋体" w:cs="宋体"/>
          <w:color w:val="000000"/>
          <w:sz w:val="24"/>
          <w:szCs w:val="24"/>
          <w:highlight w:val="none"/>
        </w:rPr>
      </w:r>
      <w:r/>
    </w:p>
    <w:p>
      <w:pPr>
        <w:pStyle w:val="801"/>
        <w:ind w:firstLine="48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第三章  评标办法</w:t>
      </w:r>
      <w:r>
        <w:rPr>
          <w:rFonts w:hint="eastAsia" w:ascii="宋体" w:hAnsi="宋体" w:eastAsia="宋体" w:cs="宋体"/>
          <w:color w:val="000000"/>
          <w:sz w:val="24"/>
          <w:szCs w:val="24"/>
          <w:highlight w:val="none"/>
        </w:rPr>
      </w:r>
      <w:r/>
    </w:p>
    <w:p>
      <w:pPr>
        <w:pStyle w:val="801"/>
        <w:ind w:firstLine="48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第四章  合同条款及格式</w:t>
      </w:r>
      <w:r>
        <w:rPr>
          <w:rFonts w:hint="eastAsia" w:ascii="宋体" w:hAnsi="宋体" w:eastAsia="宋体" w:cs="宋体"/>
          <w:color w:val="000000"/>
          <w:sz w:val="24"/>
          <w:szCs w:val="24"/>
          <w:highlight w:val="none"/>
        </w:rPr>
      </w:r>
      <w:r/>
    </w:p>
    <w:p>
      <w:pPr>
        <w:pStyle w:val="801"/>
        <w:ind w:firstLine="48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第五章  工程量清单</w:t>
      </w:r>
      <w:r>
        <w:rPr>
          <w:rFonts w:hint="eastAsia" w:ascii="宋体" w:hAnsi="宋体" w:eastAsia="宋体" w:cs="宋体"/>
          <w:color w:val="000000"/>
          <w:sz w:val="24"/>
          <w:szCs w:val="24"/>
          <w:highlight w:val="none"/>
        </w:rPr>
      </w:r>
      <w:r/>
    </w:p>
    <w:p>
      <w:pPr>
        <w:pStyle w:val="801"/>
        <w:ind w:firstLine="48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第六章  图纸</w:t>
      </w:r>
      <w:r>
        <w:rPr>
          <w:rFonts w:hint="eastAsia" w:ascii="宋体" w:hAnsi="宋体" w:eastAsia="宋体" w:cs="宋体"/>
          <w:color w:val="000000"/>
          <w:sz w:val="24"/>
          <w:szCs w:val="24"/>
          <w:highlight w:val="none"/>
        </w:rPr>
      </w:r>
      <w:r/>
    </w:p>
    <w:p>
      <w:pPr>
        <w:pStyle w:val="801"/>
        <w:ind w:firstLine="48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第七章  技术标准和要求</w:t>
      </w:r>
      <w:r>
        <w:rPr>
          <w:rFonts w:hint="eastAsia" w:ascii="宋体" w:hAnsi="宋体" w:eastAsia="宋体" w:cs="宋体"/>
          <w:color w:val="000000"/>
          <w:sz w:val="24"/>
          <w:szCs w:val="24"/>
          <w:highlight w:val="none"/>
        </w:rPr>
      </w:r>
      <w:r/>
    </w:p>
    <w:p>
      <w:pPr>
        <w:pStyle w:val="801"/>
        <w:ind w:firstLine="48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第八章  投标文件格式</w:t>
      </w:r>
      <w:r>
        <w:rPr>
          <w:rFonts w:hint="eastAsia" w:ascii="宋体" w:hAnsi="宋体" w:eastAsia="宋体" w:cs="宋体"/>
          <w:color w:val="000000"/>
          <w:sz w:val="24"/>
          <w:szCs w:val="24"/>
          <w:highlight w:val="none"/>
        </w:rPr>
      </w:r>
      <w:r/>
    </w:p>
    <w:p>
      <w:pPr>
        <w:pStyle w:val="801"/>
        <w:ind w:firstLine="48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请仔细检查招标文件是否齐全，如有缺漏请立即与招标代理机构联系解决。</w:t>
      </w:r>
      <w:r>
        <w:rPr>
          <w:rFonts w:hint="eastAsia" w:ascii="宋体" w:hAnsi="宋体" w:eastAsia="宋体" w:cs="宋体"/>
          <w:color w:val="000000"/>
          <w:sz w:val="24"/>
          <w:szCs w:val="24"/>
          <w:highlight w:val="none"/>
        </w:rPr>
      </w:r>
      <w:r/>
    </w:p>
    <w:p>
      <w:pPr>
        <w:pStyle w:val="801"/>
        <w:ind w:firstLine="48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eastAsia="宋体" w:cs="宋体"/>
          <w:color w:val="000000"/>
          <w:sz w:val="24"/>
          <w:szCs w:val="24"/>
          <w:highlight w:val="none"/>
        </w:rPr>
      </w:r>
      <w:r/>
    </w:p>
    <w:p>
      <w:pPr>
        <w:pStyle w:val="801"/>
        <w:keepLines w:val="0"/>
        <w:keepNext w:val="0"/>
        <w:pageBreakBefore w:val="0"/>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8．招标文件的澄清</w:t>
      </w:r>
      <w:r>
        <w:rPr>
          <w:rFonts w:hint="eastAsia" w:ascii="宋体" w:hAnsi="宋体" w:eastAsia="宋体" w:cs="宋体"/>
          <w:b/>
          <w:color w:val="000000"/>
          <w:sz w:val="24"/>
          <w:szCs w:val="24"/>
          <w:highlight w:val="none"/>
        </w:rPr>
      </w:r>
      <w:r/>
    </w:p>
    <w:p>
      <w:pPr>
        <w:pStyle w:val="801"/>
        <w:ind w:firstLine="480"/>
        <w:keepLines w:val="0"/>
        <w:keepNext w:val="0"/>
        <w:pageBreakBefore w:val="0"/>
        <w:widowControl w:val="off"/>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 xml:space="preserve">8.1 投标人可自行联系招标人踏勘项目现场（未现场勘察和未提出疑义的投标人将被视为已勘察，认同招标项目要求的内容）。未踏勘项目或踏勘工作不详细的投标人中标后，不得以不了解现场情况为理由而向招标人提出任何索赔或其他要求，对此招标人不承担任何责任并将不作任何答复。</w:t>
      </w:r>
      <w:r>
        <w:rPr>
          <w:rFonts w:hint="eastAsia" w:ascii="宋体" w:hAnsi="宋体" w:eastAsia="宋体" w:cs="宋体"/>
          <w:b/>
          <w:bCs/>
          <w:color w:val="000000"/>
          <w:sz w:val="24"/>
          <w:szCs w:val="24"/>
          <w:highlight w:val="none"/>
        </w:rPr>
      </w:r>
      <w:r/>
    </w:p>
    <w:p>
      <w:pPr>
        <w:pStyle w:val="801"/>
        <w:ind w:firstLine="48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8.2 任何要求对招标文件进行澄清的投标人，均应在答疑时间截止前以书面形式向招标代理机构提出。招标人对答疑时间截止前收到的任何澄清要求将以书面形式予以答复。</w:t>
      </w:r>
      <w:r>
        <w:rPr>
          <w:rFonts w:hint="eastAsia" w:ascii="宋体" w:hAnsi="宋体" w:eastAsia="宋体" w:cs="宋体"/>
          <w:color w:val="000000"/>
          <w:sz w:val="24"/>
          <w:szCs w:val="24"/>
          <w:highlight w:val="none"/>
        </w:rPr>
      </w:r>
      <w:r/>
    </w:p>
    <w:p>
      <w:pPr>
        <w:pStyle w:val="801"/>
        <w:keepLines w:val="0"/>
        <w:keepNext w:val="0"/>
        <w:pageBreakBefore w:val="0"/>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9．招标文件的修改</w:t>
      </w:r>
      <w:r>
        <w:rPr>
          <w:rFonts w:hint="eastAsia" w:ascii="宋体" w:hAnsi="宋体" w:eastAsia="宋体" w:cs="宋体"/>
          <w:b/>
          <w:color w:val="000000"/>
          <w:sz w:val="24"/>
          <w:szCs w:val="24"/>
          <w:highlight w:val="none"/>
        </w:rPr>
      </w:r>
      <w:r/>
    </w:p>
    <w:p>
      <w:pPr>
        <w:pStyle w:val="801"/>
        <w:ind w:firstLine="48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9.1 在提交投标文件截止15日前的任何时候，无论出于何种原因，招标人均可主动地或在解答投标人提出的澄清问题时对招标文件进行修改。</w:t>
      </w:r>
      <w:r>
        <w:rPr>
          <w:rFonts w:hint="eastAsia" w:ascii="宋体" w:hAnsi="宋体" w:eastAsia="宋体" w:cs="宋体"/>
          <w:color w:val="000000"/>
          <w:sz w:val="24"/>
          <w:szCs w:val="24"/>
          <w:highlight w:val="none"/>
        </w:rPr>
      </w:r>
      <w:r/>
    </w:p>
    <w:p>
      <w:pPr>
        <w:pStyle w:val="801"/>
        <w:ind w:firstLine="48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9.2 招标代理机构有权按照法定的要求推迟投标截止日期和开标日期。</w:t>
      </w:r>
      <w:r>
        <w:rPr>
          <w:rFonts w:hint="eastAsia" w:ascii="宋体" w:hAnsi="宋体" w:eastAsia="宋体" w:cs="宋体"/>
          <w:color w:val="000000"/>
          <w:sz w:val="24"/>
          <w:szCs w:val="24"/>
          <w:highlight w:val="none"/>
        </w:rPr>
      </w:r>
      <w:r/>
    </w:p>
    <w:p>
      <w:pPr>
        <w:pStyle w:val="801"/>
        <w:ind w:firstLine="48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9.3 招标文件的实质性变动或修改将在江苏政府采购网通知，投标人可自行下载。补充文件将作为招标文件的组成部分，并对投标人具有约束力。</w:t>
      </w:r>
      <w:r>
        <w:rPr>
          <w:rFonts w:hint="eastAsia" w:ascii="宋体" w:hAnsi="宋体" w:eastAsia="宋体" w:cs="宋体"/>
          <w:color w:val="000000"/>
          <w:sz w:val="24"/>
          <w:szCs w:val="24"/>
          <w:highlight w:val="none"/>
        </w:rPr>
      </w:r>
      <w:r/>
    </w:p>
    <w:p>
      <w:pPr>
        <w:pStyle w:val="801"/>
        <w:keepLines w:val="0"/>
        <w:keepNext w:val="0"/>
        <w:pageBreakBefore w:val="0"/>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三、投标文件的编制</w:t>
      </w:r>
      <w:r>
        <w:rPr>
          <w:rFonts w:hint="eastAsia" w:ascii="宋体" w:hAnsi="宋体" w:eastAsia="宋体" w:cs="宋体"/>
          <w:b/>
          <w:color w:val="000000"/>
          <w:sz w:val="24"/>
          <w:szCs w:val="24"/>
          <w:highlight w:val="none"/>
        </w:rPr>
      </w:r>
      <w:r/>
    </w:p>
    <w:p>
      <w:pPr>
        <w:pStyle w:val="801"/>
        <w:keepLines w:val="0"/>
        <w:keepNext w:val="0"/>
        <w:pageBreakBefore w:val="0"/>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10．投标文件的语言及度量衡单位</w:t>
      </w:r>
      <w:r>
        <w:rPr>
          <w:rFonts w:hint="eastAsia" w:ascii="宋体" w:hAnsi="宋体" w:eastAsia="宋体" w:cs="宋体"/>
          <w:b/>
          <w:color w:val="000000"/>
          <w:sz w:val="24"/>
          <w:szCs w:val="24"/>
          <w:highlight w:val="none"/>
        </w:rPr>
      </w:r>
      <w:r/>
    </w:p>
    <w:p>
      <w:pPr>
        <w:pStyle w:val="801"/>
        <w:ind w:firstLine="48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10.1 投标人提交的投标文件以及投标人与招标代理机构就有关投标的所有来往通知、函件和文件均应使用简体中文。</w:t>
      </w:r>
      <w:r>
        <w:rPr>
          <w:rFonts w:hint="eastAsia" w:ascii="宋体" w:hAnsi="宋体" w:eastAsia="宋体" w:cs="宋体"/>
          <w:color w:val="000000"/>
          <w:sz w:val="24"/>
          <w:szCs w:val="24"/>
          <w:highlight w:val="none"/>
        </w:rPr>
      </w:r>
      <w:r/>
    </w:p>
    <w:p>
      <w:pPr>
        <w:pStyle w:val="801"/>
        <w:ind w:firstLine="48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10.2 除技术性能另有规定外，投标文件所使用的度量衡单位，均须采用国家法定计量单位。</w:t>
      </w:r>
      <w:r>
        <w:rPr>
          <w:rFonts w:hint="eastAsia" w:ascii="宋体" w:hAnsi="宋体" w:eastAsia="宋体" w:cs="宋体"/>
          <w:color w:val="000000"/>
          <w:sz w:val="24"/>
          <w:szCs w:val="24"/>
          <w:highlight w:val="none"/>
        </w:rPr>
      </w:r>
      <w:r/>
    </w:p>
    <w:p>
      <w:pPr>
        <w:pStyle w:val="801"/>
        <w:keepLines w:val="0"/>
        <w:keepNext w:val="0"/>
        <w:pageBreakBefore w:val="0"/>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11．投标文件构成</w:t>
      </w:r>
      <w:r>
        <w:rPr>
          <w:rFonts w:hint="eastAsia" w:ascii="宋体" w:hAnsi="宋体" w:eastAsia="宋体" w:cs="宋体"/>
          <w:b/>
          <w:color w:val="000000"/>
          <w:sz w:val="24"/>
          <w:szCs w:val="24"/>
          <w:highlight w:val="none"/>
        </w:rPr>
      </w:r>
      <w:r/>
    </w:p>
    <w:p>
      <w:pPr>
        <w:pStyle w:val="801"/>
        <w:ind w:firstLine="48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11.1 投标人编写的投标文件应包括投标函、资格证明文件、项目经理及其他人员介绍、主要业绩、施工组织设计、投标人情况介绍等部分。</w:t>
      </w:r>
      <w:r>
        <w:rPr>
          <w:rFonts w:hint="eastAsia" w:ascii="宋体" w:hAnsi="宋体" w:eastAsia="宋体" w:cs="宋体"/>
          <w:color w:val="000000"/>
          <w:sz w:val="24"/>
          <w:szCs w:val="24"/>
          <w:highlight w:val="none"/>
        </w:rPr>
      </w:r>
      <w:r/>
    </w:p>
    <w:p>
      <w:pPr>
        <w:pStyle w:val="801"/>
        <w:keepLines w:val="0"/>
        <w:keepNext w:val="0"/>
        <w:pageBreakBefore w:val="0"/>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12．投标函</w:t>
      </w:r>
      <w:r>
        <w:rPr>
          <w:rFonts w:hint="eastAsia" w:ascii="宋体" w:hAnsi="宋体" w:eastAsia="宋体" w:cs="宋体"/>
          <w:b/>
          <w:color w:val="000000"/>
          <w:sz w:val="24"/>
          <w:szCs w:val="24"/>
          <w:highlight w:val="none"/>
        </w:rPr>
      </w:r>
      <w:r/>
    </w:p>
    <w:p>
      <w:pPr>
        <w:pStyle w:val="801"/>
        <w:ind w:firstLine="482"/>
        <w:keepLines w:val="0"/>
        <w:keepNext w:val="0"/>
        <w:pageBreakBefore w:val="0"/>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投标人应按照招标文件中提供的格式完整、正确填写投标函。</w:t>
      </w:r>
      <w:r>
        <w:rPr>
          <w:rFonts w:hint="eastAsia" w:ascii="宋体" w:hAnsi="宋体" w:eastAsia="宋体" w:cs="宋体"/>
          <w:b/>
          <w:bCs/>
          <w:color w:val="000000"/>
          <w:sz w:val="24"/>
          <w:szCs w:val="24"/>
          <w:highlight w:val="none"/>
        </w:rPr>
      </w:r>
      <w:r/>
    </w:p>
    <w:p>
      <w:pPr>
        <w:pStyle w:val="801"/>
        <w:keepLines w:val="0"/>
        <w:keepNext w:val="0"/>
        <w:pageBreakBefore w:val="0"/>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13．投标人资格证明文件</w:t>
      </w:r>
      <w:r>
        <w:rPr>
          <w:rFonts w:hint="eastAsia" w:ascii="宋体" w:hAnsi="宋体" w:eastAsia="宋体" w:cs="宋体"/>
          <w:b/>
          <w:color w:val="000000"/>
          <w:sz w:val="24"/>
          <w:szCs w:val="24"/>
          <w:highlight w:val="none"/>
        </w:rPr>
      </w:r>
      <w:r/>
    </w:p>
    <w:p>
      <w:pPr>
        <w:pStyle w:val="801"/>
        <w:ind w:firstLine="48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13.1 投标人应按招标文件的要求提交资格证明文件。</w:t>
      </w:r>
      <w:r>
        <w:rPr>
          <w:rFonts w:hint="eastAsia" w:ascii="宋体" w:hAnsi="宋体" w:eastAsia="宋体" w:cs="宋体"/>
          <w:color w:val="000000"/>
          <w:sz w:val="24"/>
          <w:szCs w:val="24"/>
          <w:highlight w:val="none"/>
        </w:rPr>
      </w:r>
      <w:r/>
    </w:p>
    <w:p>
      <w:pPr>
        <w:pStyle w:val="801"/>
        <w:keepLines w:val="0"/>
        <w:keepNext w:val="0"/>
        <w:pageBreakBefore w:val="0"/>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14．投标报价</w:t>
      </w:r>
      <w:r>
        <w:rPr>
          <w:rFonts w:hint="eastAsia" w:ascii="宋体" w:hAnsi="宋体" w:eastAsia="宋体" w:cs="宋体"/>
          <w:b/>
          <w:color w:val="000000"/>
          <w:sz w:val="24"/>
          <w:szCs w:val="24"/>
          <w:highlight w:val="none"/>
        </w:rPr>
      </w:r>
      <w:r/>
    </w:p>
    <w:p>
      <w:pPr>
        <w:pStyle w:val="801"/>
        <w:ind w:firstLine="48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14.1 投标人应按照招标文件规定格式填表。每项只允许有一个报价。</w:t>
      </w:r>
      <w:r>
        <w:rPr>
          <w:rFonts w:hint="eastAsia" w:ascii="宋体" w:hAnsi="宋体" w:eastAsia="宋体" w:cs="宋体"/>
          <w:color w:val="000000"/>
          <w:sz w:val="24"/>
          <w:szCs w:val="24"/>
          <w:highlight w:val="none"/>
        </w:rPr>
      </w:r>
      <w:r/>
    </w:p>
    <w:p>
      <w:pPr>
        <w:pStyle w:val="801"/>
        <w:ind w:firstLine="48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14.2 标的物</w:t>
      </w:r>
      <w:r>
        <w:rPr>
          <w:rFonts w:hint="eastAsia" w:ascii="宋体" w:hAnsi="宋体" w:eastAsia="宋体" w:cs="宋体"/>
          <w:color w:val="000000"/>
          <w:sz w:val="24"/>
          <w:szCs w:val="24"/>
          <w:highlight w:val="none"/>
        </w:rPr>
      </w:r>
      <w:r/>
    </w:p>
    <w:p>
      <w:pPr>
        <w:pStyle w:val="801"/>
        <w:ind w:firstLine="48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详见招标公告</w:t>
      </w:r>
      <w:r>
        <w:rPr>
          <w:rFonts w:hint="eastAsia" w:ascii="宋体" w:hAnsi="宋体" w:eastAsia="宋体" w:cs="宋体"/>
          <w:color w:val="000000"/>
          <w:sz w:val="24"/>
          <w:szCs w:val="24"/>
          <w:highlight w:val="none"/>
        </w:rPr>
      </w:r>
      <w:r/>
    </w:p>
    <w:p>
      <w:pPr>
        <w:pStyle w:val="801"/>
        <w:ind w:firstLine="48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14.3 投标货币</w:t>
      </w:r>
      <w:r>
        <w:rPr>
          <w:rFonts w:hint="eastAsia" w:ascii="宋体" w:hAnsi="宋体" w:eastAsia="宋体" w:cs="宋体"/>
          <w:color w:val="000000"/>
          <w:sz w:val="24"/>
          <w:szCs w:val="24"/>
          <w:highlight w:val="none"/>
        </w:rPr>
      </w:r>
      <w:r/>
    </w:p>
    <w:p>
      <w:pPr>
        <w:pStyle w:val="801"/>
        <w:ind w:firstLine="48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投标文件中的单项报价和总价均采用人民币报价，以元为单位标注。招标文件中另有规定的按规定执行。</w:t>
      </w:r>
      <w:r>
        <w:rPr>
          <w:rFonts w:hint="eastAsia" w:ascii="宋体" w:hAnsi="宋体" w:eastAsia="宋体" w:cs="宋体"/>
          <w:color w:val="000000"/>
          <w:sz w:val="24"/>
          <w:szCs w:val="24"/>
          <w:highlight w:val="none"/>
        </w:rPr>
      </w:r>
      <w:r/>
    </w:p>
    <w:p>
      <w:pPr>
        <w:pStyle w:val="801"/>
        <w:ind w:firstLine="482"/>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14.4投标报价的相关要求详见本章投标人须知《投标人须知前附表》</w:t>
      </w:r>
      <w:r>
        <w:rPr>
          <w:rFonts w:hint="eastAsia" w:ascii="宋体" w:hAnsi="宋体" w:eastAsia="宋体" w:cs="宋体"/>
          <w:b/>
          <w:bCs/>
          <w:color w:val="000000"/>
          <w:sz w:val="24"/>
          <w:szCs w:val="24"/>
          <w:highlight w:val="none"/>
          <w:lang w:val="en-US" w:eastAsia="zh-CN"/>
        </w:rPr>
        <w:t xml:space="preserve">中</w:t>
      </w:r>
      <w:r>
        <w:rPr>
          <w:rFonts w:hint="eastAsia" w:ascii="宋体" w:hAnsi="宋体" w:eastAsia="宋体" w:cs="宋体"/>
          <w:b/>
          <w:bCs/>
          <w:color w:val="000000"/>
          <w:sz w:val="24"/>
          <w:szCs w:val="24"/>
          <w:highlight w:val="none"/>
        </w:rPr>
        <w:t xml:space="preserve">15.1报价说明和第七章技术标准和要求</w:t>
      </w:r>
      <w:r>
        <w:rPr>
          <w:rFonts w:hint="eastAsia" w:ascii="宋体" w:hAnsi="宋体" w:eastAsia="宋体" w:cs="宋体"/>
          <w:b/>
          <w:bCs/>
          <w:color w:val="000000"/>
          <w:sz w:val="24"/>
          <w:szCs w:val="24"/>
          <w:highlight w:val="none"/>
          <w:lang w:val="en-US" w:eastAsia="zh-CN"/>
        </w:rPr>
        <w:t xml:space="preserve">中</w:t>
      </w:r>
      <w:r>
        <w:rPr>
          <w:rFonts w:hint="eastAsia" w:ascii="宋体" w:hAnsi="宋体" w:eastAsia="宋体" w:cs="宋体"/>
          <w:b/>
          <w:bCs/>
          <w:color w:val="000000"/>
          <w:sz w:val="24"/>
          <w:szCs w:val="24"/>
          <w:highlight w:val="none"/>
        </w:rPr>
        <w:t xml:space="preserve">工程量清单编制说明及投标报价要求。</w:t>
      </w:r>
      <w:r>
        <w:rPr>
          <w:rFonts w:hint="eastAsia" w:ascii="宋体" w:hAnsi="宋体" w:eastAsia="宋体" w:cs="宋体"/>
          <w:color w:val="000000"/>
          <w:sz w:val="24"/>
          <w:szCs w:val="24"/>
          <w:highlight w:val="none"/>
        </w:rPr>
      </w:r>
      <w:r/>
    </w:p>
    <w:p>
      <w:pPr>
        <w:pStyle w:val="801"/>
        <w:keepLines w:val="0"/>
        <w:keepNext w:val="0"/>
        <w:pageBreakBefore w:val="0"/>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15．技术条款响应及偏离表、商务条款响应及偏离表 </w:t>
      </w:r>
      <w:r>
        <w:rPr>
          <w:rFonts w:hint="eastAsia" w:ascii="宋体" w:hAnsi="宋体" w:eastAsia="宋体" w:cs="宋体"/>
          <w:b/>
          <w:color w:val="000000"/>
          <w:sz w:val="24"/>
          <w:szCs w:val="24"/>
          <w:highlight w:val="none"/>
        </w:rPr>
      </w:r>
      <w:r/>
    </w:p>
    <w:p>
      <w:pPr>
        <w:pStyle w:val="801"/>
        <w:ind w:firstLine="48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对招标文件中的技术条款与商务条款要求逐项作出响应或偏离，并说明原因。</w:t>
      </w:r>
      <w:r>
        <w:rPr>
          <w:rFonts w:hint="eastAsia" w:ascii="宋体" w:hAnsi="宋体" w:eastAsia="宋体" w:cs="宋体"/>
          <w:color w:val="000000"/>
          <w:sz w:val="24"/>
          <w:szCs w:val="24"/>
          <w:highlight w:val="none"/>
        </w:rPr>
      </w:r>
      <w:r/>
    </w:p>
    <w:p>
      <w:pPr>
        <w:pStyle w:val="801"/>
        <w:keepLines w:val="0"/>
        <w:keepNext w:val="0"/>
        <w:pageBreakBefore w:val="0"/>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16．施工组织设计</w:t>
      </w:r>
      <w:r>
        <w:rPr>
          <w:rFonts w:hint="eastAsia" w:ascii="宋体" w:hAnsi="宋体" w:eastAsia="宋体" w:cs="宋体"/>
          <w:b/>
          <w:color w:val="000000"/>
          <w:sz w:val="24"/>
          <w:szCs w:val="24"/>
          <w:highlight w:val="none"/>
        </w:rPr>
      </w:r>
      <w:r/>
    </w:p>
    <w:p>
      <w:pPr>
        <w:pStyle w:val="801"/>
        <w:ind w:firstLine="48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投标文件中应体现根据自己对需求的理解撰写需求分析和工程项目的组织与管理、工作计划、组织分工等内容、配置的人员情况等。</w:t>
      </w:r>
      <w:r>
        <w:rPr>
          <w:rFonts w:hint="eastAsia" w:ascii="宋体" w:hAnsi="宋体" w:eastAsia="宋体" w:cs="宋体"/>
          <w:color w:val="000000"/>
          <w:sz w:val="24"/>
          <w:szCs w:val="24"/>
          <w:highlight w:val="none"/>
        </w:rPr>
      </w:r>
      <w:r/>
    </w:p>
    <w:p>
      <w:pPr>
        <w:pStyle w:val="801"/>
        <w:keepLines w:val="0"/>
        <w:keepNext w:val="0"/>
        <w:pageBreakBefore w:val="0"/>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17．投标人情况介绍</w:t>
      </w:r>
      <w:r>
        <w:rPr>
          <w:rFonts w:hint="eastAsia" w:ascii="宋体" w:hAnsi="宋体" w:eastAsia="宋体" w:cs="宋体"/>
          <w:b/>
          <w:color w:val="000000"/>
          <w:sz w:val="24"/>
          <w:szCs w:val="24"/>
          <w:highlight w:val="none"/>
        </w:rPr>
      </w:r>
      <w:r/>
    </w:p>
    <w:p>
      <w:pPr>
        <w:pStyle w:val="801"/>
        <w:ind w:firstLine="48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投标人的总体情况应在投标文件以书面形式作出说明。</w:t>
      </w:r>
      <w:r>
        <w:rPr>
          <w:rFonts w:hint="eastAsia" w:ascii="宋体" w:hAnsi="宋体" w:eastAsia="宋体" w:cs="宋体"/>
          <w:color w:val="000000"/>
          <w:sz w:val="24"/>
          <w:szCs w:val="24"/>
          <w:highlight w:val="none"/>
        </w:rPr>
      </w:r>
      <w:r/>
    </w:p>
    <w:p>
      <w:pPr>
        <w:pStyle w:val="801"/>
        <w:keepLines w:val="0"/>
        <w:keepNext w:val="0"/>
        <w:pageBreakBefore w:val="0"/>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18．投标保证金</w:t>
      </w:r>
      <w:r>
        <w:rPr>
          <w:rFonts w:hint="eastAsia" w:ascii="宋体" w:hAnsi="宋体" w:eastAsia="宋体" w:cs="宋体"/>
          <w:b/>
          <w:color w:val="000000"/>
          <w:sz w:val="24"/>
          <w:szCs w:val="24"/>
          <w:highlight w:val="none"/>
        </w:rPr>
      </w:r>
      <w:r/>
    </w:p>
    <w:p>
      <w:pPr>
        <w:pStyle w:val="801"/>
        <w:ind w:firstLine="482"/>
        <w:keepLines w:val="0"/>
        <w:keepNext w:val="0"/>
        <w:pageBreakBefore w:val="0"/>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本项目不收取投标保证金。</w:t>
      </w:r>
      <w:r>
        <w:rPr>
          <w:rFonts w:hint="eastAsia" w:ascii="宋体" w:hAnsi="宋体" w:eastAsia="宋体" w:cs="宋体"/>
          <w:b/>
          <w:bCs/>
          <w:color w:val="000000"/>
          <w:sz w:val="24"/>
          <w:szCs w:val="24"/>
          <w:highlight w:val="none"/>
        </w:rPr>
      </w:r>
      <w:r/>
    </w:p>
    <w:p>
      <w:pPr>
        <w:pStyle w:val="801"/>
        <w:keepLines w:val="0"/>
        <w:keepNext w:val="0"/>
        <w:pageBreakBefore w:val="0"/>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19．投标有效期</w:t>
      </w:r>
      <w:r>
        <w:rPr>
          <w:rFonts w:hint="eastAsia" w:ascii="宋体" w:hAnsi="宋体" w:eastAsia="宋体" w:cs="宋体"/>
          <w:b/>
          <w:color w:val="000000"/>
          <w:sz w:val="24"/>
          <w:szCs w:val="24"/>
          <w:highlight w:val="none"/>
        </w:rPr>
      </w:r>
      <w:r/>
    </w:p>
    <w:p>
      <w:pPr>
        <w:pStyle w:val="801"/>
        <w:ind w:firstLine="48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19.1 投标有效期为招标代理机构规定的开标之日后</w:t>
      </w:r>
      <w:r>
        <w:rPr>
          <w:rFonts w:hint="eastAsia" w:ascii="宋体" w:hAnsi="宋体" w:eastAsia="宋体" w:cs="宋体"/>
          <w:b/>
          <w:bCs/>
          <w:color w:val="000000"/>
          <w:sz w:val="24"/>
          <w:szCs w:val="24"/>
          <w:highlight w:val="none"/>
        </w:rPr>
        <w:t xml:space="preserve">九十（90）天</w:t>
      </w:r>
      <w:r>
        <w:rPr>
          <w:rFonts w:hint="eastAsia" w:ascii="宋体" w:hAnsi="宋体" w:eastAsia="宋体" w:cs="宋体"/>
          <w:color w:val="000000"/>
          <w:sz w:val="24"/>
          <w:szCs w:val="24"/>
          <w:highlight w:val="none"/>
        </w:rPr>
        <w:t xml:space="preserve">。投标有效期比规定短的将被视为非响应性投标而予以拒绝。</w:t>
      </w:r>
      <w:r>
        <w:rPr>
          <w:rFonts w:hint="eastAsia" w:ascii="宋体" w:hAnsi="宋体" w:eastAsia="宋体" w:cs="宋体"/>
          <w:color w:val="000000"/>
          <w:sz w:val="24"/>
          <w:szCs w:val="24"/>
          <w:highlight w:val="none"/>
        </w:rPr>
      </w:r>
      <w:r/>
    </w:p>
    <w:p>
      <w:pPr>
        <w:pStyle w:val="801"/>
        <w:ind w:firstLine="48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19.2 在特殊情况下，招标代理机构于原投标有效期满之前，可向投标人提出延长投标有效期的要求。这种要求与答复均应采用书面形式。投标人可以拒绝招标代理机构的这一要求而放弃投标。同意延长投标有效期的投标人既不能要求也不允许修改其投标文件。</w:t>
      </w:r>
      <w:r>
        <w:rPr>
          <w:rFonts w:hint="eastAsia" w:ascii="宋体" w:hAnsi="宋体" w:eastAsia="宋体" w:cs="宋体"/>
          <w:color w:val="000000"/>
          <w:sz w:val="24"/>
          <w:szCs w:val="24"/>
          <w:highlight w:val="none"/>
        </w:rPr>
      </w:r>
      <w:r/>
    </w:p>
    <w:p>
      <w:pPr>
        <w:pStyle w:val="801"/>
        <w:keepLines w:val="0"/>
        <w:keepNext w:val="0"/>
        <w:pageBreakBefore w:val="0"/>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四、投标文件的递交</w:t>
      </w:r>
      <w:r>
        <w:rPr>
          <w:rFonts w:hint="eastAsia" w:ascii="宋体" w:hAnsi="宋体" w:eastAsia="宋体" w:cs="宋体"/>
          <w:b/>
          <w:color w:val="000000"/>
          <w:sz w:val="24"/>
          <w:szCs w:val="24"/>
          <w:highlight w:val="none"/>
        </w:rPr>
      </w:r>
      <w:r/>
    </w:p>
    <w:p>
      <w:pPr>
        <w:pStyle w:val="801"/>
        <w:keepLines w:val="0"/>
        <w:keepNext w:val="0"/>
        <w:pageBreakBefore w:val="0"/>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20．投标文件的递交</w:t>
      </w:r>
      <w:r>
        <w:rPr>
          <w:rFonts w:hint="eastAsia" w:ascii="宋体" w:hAnsi="宋体" w:eastAsia="宋体" w:cs="宋体"/>
          <w:b/>
          <w:color w:val="000000"/>
          <w:sz w:val="24"/>
          <w:szCs w:val="24"/>
          <w:highlight w:val="none"/>
        </w:rPr>
      </w:r>
      <w:r/>
    </w:p>
    <w:p>
      <w:pPr>
        <w:pStyle w:val="801"/>
        <w:ind w:firstLine="48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投标人应充分考虑网络及系统平台可能存在的非正常情况等各种风险因素，在规定的提交投标文件截止时间前，通过江苏省政府采购管理交易系统（苏采云），完成投标文件的上传。</w:t>
      </w:r>
      <w:r>
        <w:rPr>
          <w:rFonts w:hint="eastAsia" w:ascii="宋体" w:hAnsi="宋体" w:eastAsia="宋体" w:cs="宋体"/>
          <w:color w:val="000000"/>
          <w:sz w:val="24"/>
          <w:szCs w:val="24"/>
          <w:highlight w:val="none"/>
        </w:rPr>
      </w:r>
      <w:r/>
    </w:p>
    <w:p>
      <w:pPr>
        <w:pStyle w:val="801"/>
        <w:keepLines w:val="0"/>
        <w:keepNext w:val="0"/>
        <w:pageBreakBefore w:val="0"/>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21．投标文件的修改与撤回</w:t>
      </w:r>
      <w:r>
        <w:rPr>
          <w:rFonts w:hint="eastAsia" w:ascii="宋体" w:hAnsi="宋体" w:eastAsia="宋体" w:cs="宋体"/>
          <w:b/>
          <w:color w:val="000000"/>
          <w:sz w:val="24"/>
          <w:szCs w:val="24"/>
          <w:highlight w:val="none"/>
        </w:rPr>
      </w:r>
      <w:r/>
    </w:p>
    <w:p>
      <w:pPr>
        <w:pStyle w:val="801"/>
        <w:ind w:firstLine="48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在提交投标文件截止时间前，投标人可以修改或撤回已递交的投标文件。修改的投标文件应按照本招标文件规定进行编制和重新提交。</w:t>
      </w:r>
      <w:r>
        <w:rPr>
          <w:rFonts w:hint="eastAsia" w:ascii="宋体" w:hAnsi="宋体" w:eastAsia="宋体" w:cs="宋体"/>
          <w:color w:val="000000"/>
          <w:sz w:val="24"/>
          <w:szCs w:val="24"/>
          <w:highlight w:val="none"/>
        </w:rPr>
      </w:r>
      <w:r/>
    </w:p>
    <w:p>
      <w:pPr>
        <w:pStyle w:val="801"/>
        <w:keepLines w:val="0"/>
        <w:keepNext w:val="0"/>
        <w:pageBreakBefore w:val="0"/>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22．投标文件的确认</w:t>
      </w:r>
      <w:r>
        <w:rPr>
          <w:rFonts w:hint="eastAsia" w:ascii="宋体" w:hAnsi="宋体" w:eastAsia="宋体" w:cs="宋体"/>
          <w:b/>
          <w:color w:val="000000"/>
          <w:sz w:val="24"/>
          <w:szCs w:val="24"/>
          <w:highlight w:val="none"/>
        </w:rPr>
      </w:r>
      <w:r/>
    </w:p>
    <w:p>
      <w:pPr>
        <w:pStyle w:val="801"/>
        <w:ind w:firstLine="48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投标人可以通过江苏省政府采购管理交易系统（苏采云）多次上传投标文件，以规定的提交投标文件截止时间前，江苏省政府采购管理交易系统（苏采云）接受到的最后一份投标文件为准。</w:t>
      </w:r>
      <w:r>
        <w:rPr>
          <w:rFonts w:hint="eastAsia" w:ascii="宋体" w:hAnsi="宋体" w:eastAsia="宋体" w:cs="宋体"/>
          <w:color w:val="000000"/>
          <w:sz w:val="24"/>
          <w:szCs w:val="24"/>
          <w:highlight w:val="none"/>
        </w:rPr>
      </w:r>
      <w:r/>
    </w:p>
    <w:p>
      <w:pPr>
        <w:pStyle w:val="801"/>
        <w:keepLines w:val="0"/>
        <w:keepNext w:val="0"/>
        <w:pageBreakBefore w:val="0"/>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23．投标文件的拒收</w:t>
      </w:r>
      <w:r>
        <w:rPr>
          <w:rFonts w:hint="eastAsia" w:ascii="宋体" w:hAnsi="宋体" w:eastAsia="宋体" w:cs="宋体"/>
          <w:b/>
          <w:color w:val="000000"/>
          <w:sz w:val="24"/>
          <w:szCs w:val="24"/>
          <w:highlight w:val="none"/>
        </w:rPr>
      </w:r>
      <w:r/>
    </w:p>
    <w:p>
      <w:pPr>
        <w:pStyle w:val="801"/>
        <w:ind w:firstLine="48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在规定的提交投标文件截止时间后，江苏省政府采购管理交易系统（苏采云）将不再接受投标文件的上传。</w:t>
      </w:r>
      <w:r>
        <w:rPr>
          <w:rFonts w:hint="eastAsia" w:ascii="宋体" w:hAnsi="宋体" w:eastAsia="宋体" w:cs="宋体"/>
          <w:color w:val="000000"/>
          <w:sz w:val="24"/>
          <w:szCs w:val="24"/>
          <w:highlight w:val="none"/>
        </w:rPr>
      </w:r>
      <w:r/>
    </w:p>
    <w:p>
      <w:pPr>
        <w:pStyle w:val="801"/>
        <w:keepLines w:val="0"/>
        <w:keepNext w:val="0"/>
        <w:pageBreakBefore w:val="0"/>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五、开标与评标</w:t>
      </w:r>
      <w:r>
        <w:rPr>
          <w:rFonts w:hint="eastAsia" w:ascii="宋体" w:hAnsi="宋体" w:eastAsia="宋体" w:cs="宋体"/>
          <w:b/>
          <w:color w:val="000000"/>
          <w:sz w:val="24"/>
          <w:szCs w:val="24"/>
          <w:highlight w:val="none"/>
        </w:rPr>
      </w:r>
      <w:r/>
    </w:p>
    <w:p>
      <w:pPr>
        <w:pStyle w:val="801"/>
        <w:keepLines w:val="0"/>
        <w:keepNext w:val="0"/>
        <w:pageBreakBefore w:val="0"/>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24．开标</w:t>
      </w:r>
      <w:r>
        <w:rPr>
          <w:rFonts w:hint="eastAsia" w:ascii="宋体" w:hAnsi="宋体" w:eastAsia="宋体" w:cs="宋体"/>
          <w:b/>
          <w:color w:val="000000"/>
          <w:sz w:val="24"/>
          <w:szCs w:val="24"/>
          <w:highlight w:val="none"/>
        </w:rPr>
      </w:r>
      <w:r/>
    </w:p>
    <w:p>
      <w:pPr>
        <w:pStyle w:val="801"/>
        <w:ind w:firstLine="48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24.1开标将在“苏采云”系统“开标大厅”内公开进行，投标人应当按照《江苏省政府采购管理交易系统（苏采云）供应商操作手册》规定参加，并在规定的时间内解密投标文件。</w:t>
      </w:r>
      <w:r>
        <w:rPr>
          <w:rFonts w:hint="eastAsia" w:ascii="宋体" w:hAnsi="宋体" w:eastAsia="宋体" w:cs="宋体"/>
          <w:color w:val="000000"/>
          <w:sz w:val="24"/>
          <w:szCs w:val="24"/>
          <w:highlight w:val="none"/>
        </w:rPr>
      </w:r>
      <w:r/>
    </w:p>
    <w:p>
      <w:pPr>
        <w:pStyle w:val="801"/>
        <w:ind w:firstLine="482"/>
        <w:keepLines w:val="0"/>
        <w:keepNext w:val="0"/>
        <w:pageBreakBefore w:val="0"/>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24.2特殊情况的处置</w:t>
      </w:r>
      <w:r>
        <w:rPr>
          <w:rFonts w:hint="eastAsia" w:ascii="宋体" w:hAnsi="宋体" w:eastAsia="宋体" w:cs="宋体"/>
          <w:b/>
          <w:bCs/>
          <w:color w:val="000000"/>
          <w:sz w:val="24"/>
          <w:szCs w:val="24"/>
          <w:highlight w:val="none"/>
        </w:rPr>
      </w:r>
      <w:r/>
    </w:p>
    <w:p>
      <w:pPr>
        <w:pStyle w:val="801"/>
        <w:ind w:firstLine="48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24.2.1在提交投标文件截止时间后，不见面开标系统出现下列情况之一时，投标文件未开启的，暂停开启活动；正在开启的，立即暂停，待系统恢复正常后再组织。</w:t>
      </w:r>
      <w:r>
        <w:rPr>
          <w:rFonts w:hint="eastAsia" w:ascii="宋体" w:hAnsi="宋体" w:eastAsia="宋体" w:cs="宋体"/>
          <w:color w:val="000000"/>
          <w:sz w:val="24"/>
          <w:szCs w:val="24"/>
          <w:highlight w:val="none"/>
        </w:rPr>
      </w:r>
      <w:r/>
    </w:p>
    <w:p>
      <w:pPr>
        <w:pStyle w:val="801"/>
        <w:ind w:firstLine="48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⑴系统服务器发生故障，无法访问或无法使用系统；</w:t>
      </w:r>
      <w:r>
        <w:rPr>
          <w:rFonts w:hint="eastAsia" w:ascii="宋体" w:hAnsi="宋体" w:eastAsia="宋体" w:cs="宋体"/>
          <w:color w:val="000000"/>
          <w:sz w:val="24"/>
          <w:szCs w:val="24"/>
          <w:highlight w:val="none"/>
        </w:rPr>
      </w:r>
      <w:r/>
    </w:p>
    <w:p>
      <w:pPr>
        <w:pStyle w:val="801"/>
        <w:ind w:firstLine="48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⑵系统的软件或数据库出现错误，不能进行正常操作；</w:t>
      </w:r>
      <w:r>
        <w:rPr>
          <w:rFonts w:hint="eastAsia" w:ascii="宋体" w:hAnsi="宋体" w:eastAsia="宋体" w:cs="宋体"/>
          <w:color w:val="000000"/>
          <w:sz w:val="24"/>
          <w:szCs w:val="24"/>
          <w:highlight w:val="none"/>
        </w:rPr>
      </w:r>
      <w:r/>
    </w:p>
    <w:p>
      <w:pPr>
        <w:pStyle w:val="801"/>
        <w:ind w:firstLine="48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⑶系统发现有安全漏洞，有潜在的泄密危险；</w:t>
      </w:r>
      <w:r>
        <w:rPr>
          <w:rFonts w:hint="eastAsia" w:ascii="宋体" w:hAnsi="宋体" w:eastAsia="宋体" w:cs="宋体"/>
          <w:color w:val="000000"/>
          <w:sz w:val="24"/>
          <w:szCs w:val="24"/>
          <w:highlight w:val="none"/>
        </w:rPr>
      </w:r>
      <w:r/>
    </w:p>
    <w:p>
      <w:pPr>
        <w:pStyle w:val="801"/>
        <w:ind w:firstLine="48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⑷其他无法保证信息安全的情形。</w:t>
      </w:r>
      <w:r>
        <w:rPr>
          <w:rFonts w:hint="eastAsia" w:ascii="宋体" w:hAnsi="宋体" w:eastAsia="宋体" w:cs="宋体"/>
          <w:color w:val="000000"/>
          <w:sz w:val="24"/>
          <w:szCs w:val="24"/>
          <w:highlight w:val="none"/>
        </w:rPr>
      </w:r>
      <w:r/>
    </w:p>
    <w:p>
      <w:pPr>
        <w:pStyle w:val="801"/>
        <w:ind w:firstLine="48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24.2.2因投标人自身原因造成投标文件无法解密的，视为撤销投标文件。</w:t>
      </w:r>
      <w:r>
        <w:rPr>
          <w:rFonts w:hint="eastAsia" w:ascii="宋体" w:hAnsi="宋体" w:eastAsia="宋体" w:cs="宋体"/>
          <w:color w:val="000000"/>
          <w:sz w:val="24"/>
          <w:szCs w:val="24"/>
          <w:highlight w:val="none"/>
        </w:rPr>
      </w:r>
      <w:r/>
    </w:p>
    <w:p>
      <w:pPr>
        <w:pStyle w:val="801"/>
        <w:ind w:firstLine="48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24.2.3投标人对开标活动或开标结果等有疑义的，可向招标人提出。</w:t>
      </w:r>
      <w:r>
        <w:rPr>
          <w:rFonts w:hint="eastAsia" w:ascii="宋体" w:hAnsi="宋体" w:eastAsia="宋体" w:cs="宋体"/>
          <w:color w:val="000000"/>
          <w:sz w:val="24"/>
          <w:szCs w:val="24"/>
          <w:highlight w:val="none"/>
        </w:rPr>
      </w:r>
      <w:r/>
    </w:p>
    <w:p>
      <w:pPr>
        <w:pStyle w:val="801"/>
        <w:ind w:firstLine="48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24.2.4投标人未在系统中确认开标结果的，视同认可开标结果。</w:t>
      </w:r>
      <w:r>
        <w:rPr>
          <w:rFonts w:hint="eastAsia" w:ascii="宋体" w:hAnsi="宋体" w:eastAsia="宋体" w:cs="宋体"/>
          <w:color w:val="000000"/>
          <w:sz w:val="24"/>
          <w:szCs w:val="24"/>
          <w:highlight w:val="none"/>
        </w:rPr>
      </w:r>
      <w:r/>
    </w:p>
    <w:p>
      <w:pPr>
        <w:pStyle w:val="801"/>
        <w:keepLines w:val="0"/>
        <w:keepNext w:val="0"/>
        <w:pageBreakBefore w:val="0"/>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25．评标委员会</w:t>
      </w:r>
      <w:r>
        <w:rPr>
          <w:rFonts w:hint="eastAsia" w:ascii="宋体" w:hAnsi="宋体" w:eastAsia="宋体" w:cs="宋体"/>
          <w:b/>
          <w:color w:val="000000"/>
          <w:sz w:val="24"/>
          <w:szCs w:val="24"/>
          <w:highlight w:val="none"/>
        </w:rPr>
      </w:r>
      <w:r/>
    </w:p>
    <w:p>
      <w:pPr>
        <w:pStyle w:val="801"/>
        <w:ind w:firstLine="48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25.1 开标后，招标代理机构将立即组织评标委员会（以下简称评委会）进行评标。</w:t>
      </w:r>
      <w:r>
        <w:rPr>
          <w:rFonts w:hint="eastAsia" w:ascii="宋体" w:hAnsi="宋体" w:eastAsia="宋体" w:cs="宋体"/>
          <w:color w:val="000000"/>
          <w:sz w:val="24"/>
          <w:szCs w:val="24"/>
          <w:highlight w:val="none"/>
        </w:rPr>
      </w:r>
      <w:r/>
    </w:p>
    <w:p>
      <w:pPr>
        <w:pStyle w:val="801"/>
        <w:ind w:firstLine="48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25.2 </w:t>
      </w:r>
      <w:r>
        <w:rPr>
          <w:rFonts w:hint="eastAsia" w:ascii="宋体" w:hAnsi="宋体" w:eastAsia="宋体" w:cs="宋体"/>
          <w:b/>
          <w:bCs/>
          <w:color w:val="000000"/>
          <w:sz w:val="24"/>
          <w:szCs w:val="24"/>
          <w:highlight w:val="none"/>
        </w:rPr>
        <w:t xml:space="preserve">评委会由评标专家、招标人代表组成</w:t>
      </w:r>
      <w:r>
        <w:rPr>
          <w:rFonts w:hint="eastAsia" w:ascii="宋体" w:hAnsi="宋体" w:eastAsia="宋体" w:cs="宋体"/>
          <w:color w:val="000000"/>
          <w:sz w:val="24"/>
          <w:szCs w:val="24"/>
          <w:highlight w:val="none"/>
        </w:rPr>
        <w:t xml:space="preserve">，且人员构成符合政府采购有关规定。</w:t>
      </w:r>
      <w:r>
        <w:rPr>
          <w:rFonts w:hint="eastAsia" w:ascii="宋体" w:hAnsi="宋体" w:eastAsia="宋体" w:cs="宋体"/>
          <w:color w:val="000000"/>
          <w:sz w:val="24"/>
          <w:szCs w:val="24"/>
          <w:highlight w:val="none"/>
        </w:rPr>
      </w:r>
      <w:r/>
    </w:p>
    <w:p>
      <w:pPr>
        <w:pStyle w:val="801"/>
        <w:ind w:firstLine="48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25.3 评委会应以科学、公正的态度参加评标工作并推荐中标候选人。评标专家和招标人代表在评标过程中不受任何干扰，独立、负责地提出评审意见，并对自己的评审意见承担责任。</w:t>
      </w:r>
      <w:r>
        <w:rPr>
          <w:rFonts w:hint="eastAsia" w:ascii="宋体" w:hAnsi="宋体" w:eastAsia="宋体" w:cs="宋体"/>
          <w:color w:val="000000"/>
          <w:sz w:val="24"/>
          <w:szCs w:val="24"/>
          <w:highlight w:val="none"/>
        </w:rPr>
      </w:r>
      <w:r/>
    </w:p>
    <w:p>
      <w:pPr>
        <w:pStyle w:val="801"/>
        <w:ind w:firstLine="48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25.4 评委会将对投标人的商业、技术秘密予以保密。</w:t>
      </w:r>
      <w:r>
        <w:rPr>
          <w:rFonts w:hint="eastAsia" w:ascii="宋体" w:hAnsi="宋体" w:eastAsia="宋体" w:cs="宋体"/>
          <w:color w:val="000000"/>
          <w:sz w:val="24"/>
          <w:szCs w:val="24"/>
          <w:highlight w:val="none"/>
        </w:rPr>
      </w:r>
      <w:r/>
    </w:p>
    <w:p>
      <w:pPr>
        <w:pStyle w:val="801"/>
        <w:keepLines w:val="0"/>
        <w:keepNext w:val="0"/>
        <w:pageBreakBefore w:val="0"/>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26．评标过程的保密与公正</w:t>
      </w:r>
      <w:r>
        <w:rPr>
          <w:rFonts w:hint="eastAsia" w:ascii="宋体" w:hAnsi="宋体" w:eastAsia="宋体" w:cs="宋体"/>
          <w:b/>
          <w:color w:val="000000"/>
          <w:sz w:val="24"/>
          <w:szCs w:val="24"/>
          <w:highlight w:val="none"/>
        </w:rPr>
      </w:r>
      <w:r/>
    </w:p>
    <w:p>
      <w:pPr>
        <w:pStyle w:val="801"/>
        <w:ind w:firstLine="48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26.1 公开开标后，直至向中标的投标人授予合同时止，凡是与审查、澄清、评价和比较投标的有关资料以及授标建议等，均不得向投标人或与评标无关的其他人员透露。</w:t>
      </w:r>
      <w:r>
        <w:rPr>
          <w:rFonts w:hint="eastAsia" w:ascii="宋体" w:hAnsi="宋体" w:eastAsia="宋体" w:cs="宋体"/>
          <w:color w:val="000000"/>
          <w:sz w:val="24"/>
          <w:szCs w:val="24"/>
          <w:highlight w:val="none"/>
        </w:rPr>
      </w:r>
      <w:r/>
    </w:p>
    <w:p>
      <w:pPr>
        <w:pStyle w:val="801"/>
        <w:ind w:firstLine="48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26.2 在评标过程中，如果投标人试图向招标代理机构和参与评标的人员施加任何影响，都将会导致其投标被拒绝。</w:t>
      </w:r>
      <w:r>
        <w:rPr>
          <w:rFonts w:hint="eastAsia" w:ascii="宋体" w:hAnsi="宋体" w:eastAsia="宋体" w:cs="宋体"/>
          <w:color w:val="000000"/>
          <w:sz w:val="24"/>
          <w:szCs w:val="24"/>
          <w:highlight w:val="none"/>
        </w:rPr>
      </w:r>
      <w:r/>
    </w:p>
    <w:p>
      <w:pPr>
        <w:pStyle w:val="801"/>
        <w:keepLines w:val="0"/>
        <w:keepNext w:val="0"/>
        <w:pageBreakBefore w:val="0"/>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27．投标的澄清</w:t>
      </w:r>
      <w:r>
        <w:rPr>
          <w:rFonts w:hint="eastAsia" w:ascii="宋体" w:hAnsi="宋体" w:eastAsia="宋体" w:cs="宋体"/>
          <w:b/>
          <w:color w:val="000000"/>
          <w:sz w:val="24"/>
          <w:szCs w:val="24"/>
          <w:highlight w:val="none"/>
        </w:rPr>
      </w:r>
      <w:r/>
    </w:p>
    <w:p>
      <w:pPr>
        <w:pStyle w:val="801"/>
        <w:ind w:firstLine="48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27.1 评标期间，为有助于投标文件的审查、评价和比较，评委会有权要求投标人对其投标文件进行澄清，但并非对每个投标人都作澄清要求。</w:t>
      </w:r>
      <w:r>
        <w:rPr>
          <w:rFonts w:hint="eastAsia" w:ascii="宋体" w:hAnsi="宋体" w:eastAsia="宋体" w:cs="宋体"/>
          <w:color w:val="000000"/>
          <w:sz w:val="24"/>
          <w:szCs w:val="24"/>
          <w:highlight w:val="none"/>
        </w:rPr>
      </w:r>
      <w:r/>
    </w:p>
    <w:p>
      <w:pPr>
        <w:pStyle w:val="801"/>
        <w:ind w:firstLine="48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27.2 投标人在开标后应随时关注“苏采云”系统，接到评委会澄清要求的投标人如未按规定时间作出澄清，其风险由投标人自行承担。</w:t>
      </w:r>
      <w:r>
        <w:rPr>
          <w:rFonts w:hint="eastAsia" w:ascii="宋体" w:hAnsi="宋体" w:eastAsia="宋体" w:cs="宋体"/>
          <w:color w:val="000000"/>
          <w:sz w:val="24"/>
          <w:szCs w:val="24"/>
          <w:highlight w:val="none"/>
        </w:rPr>
      </w:r>
      <w:r/>
    </w:p>
    <w:p>
      <w:pPr>
        <w:pStyle w:val="801"/>
        <w:keepLines w:val="0"/>
        <w:keepNext w:val="0"/>
        <w:pageBreakBefore w:val="0"/>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28．对投标文件的审核</w:t>
      </w:r>
      <w:r>
        <w:rPr>
          <w:rFonts w:hint="eastAsia" w:ascii="宋体" w:hAnsi="宋体" w:eastAsia="宋体" w:cs="宋体"/>
          <w:b/>
          <w:color w:val="000000"/>
          <w:sz w:val="24"/>
          <w:szCs w:val="24"/>
          <w:highlight w:val="none"/>
        </w:rPr>
      </w:r>
      <w:r/>
    </w:p>
    <w:p>
      <w:pPr>
        <w:pStyle w:val="801"/>
        <w:ind w:firstLine="48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28.1 投标文件资格性审查</w:t>
      </w:r>
      <w:r>
        <w:rPr>
          <w:rFonts w:hint="eastAsia" w:ascii="宋体" w:hAnsi="宋体" w:eastAsia="宋体" w:cs="宋体"/>
          <w:color w:val="000000"/>
          <w:sz w:val="24"/>
          <w:szCs w:val="24"/>
          <w:highlight w:val="none"/>
        </w:rPr>
      </w:r>
      <w:r/>
    </w:p>
    <w:p>
      <w:pPr>
        <w:pStyle w:val="801"/>
        <w:ind w:firstLine="48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招标人或者招标代理机构依法对投标人的资格进行审查。</w:t>
      </w:r>
      <w:r>
        <w:rPr>
          <w:rFonts w:hint="eastAsia" w:ascii="宋体" w:hAnsi="宋体" w:eastAsia="宋体" w:cs="宋体"/>
          <w:color w:val="000000"/>
          <w:sz w:val="24"/>
          <w:szCs w:val="24"/>
          <w:highlight w:val="none"/>
        </w:rPr>
      </w:r>
      <w:r/>
    </w:p>
    <w:p>
      <w:pPr>
        <w:pStyle w:val="801"/>
        <w:ind w:firstLine="48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28.1.1本项目将执行在政府采购活动中查询及使用信用记录的规定，具体要求为：</w:t>
      </w:r>
      <w:r>
        <w:rPr>
          <w:rFonts w:hint="eastAsia" w:ascii="宋体" w:hAnsi="宋体" w:eastAsia="宋体" w:cs="宋体"/>
          <w:color w:val="000000"/>
          <w:sz w:val="24"/>
          <w:szCs w:val="24"/>
          <w:highlight w:val="none"/>
        </w:rPr>
      </w:r>
      <w:r/>
    </w:p>
    <w:p>
      <w:pPr>
        <w:pStyle w:val="801"/>
        <w:ind w:firstLine="48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⑴信用信息查询的截止时点：投标截止时间。</w:t>
      </w:r>
      <w:r>
        <w:rPr>
          <w:rFonts w:hint="eastAsia" w:ascii="宋体" w:hAnsi="宋体" w:eastAsia="宋体" w:cs="宋体"/>
          <w:color w:val="000000"/>
          <w:sz w:val="24"/>
          <w:szCs w:val="24"/>
          <w:highlight w:val="none"/>
        </w:rPr>
      </w:r>
      <w:r/>
    </w:p>
    <w:p>
      <w:pPr>
        <w:pStyle w:val="801"/>
        <w:ind w:firstLine="48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⑵查询渠道：“信用中国”网站（www.creditchina.gov.cn）和中国政府采购网（www.ccgp.gov.cn）；</w:t>
      </w:r>
      <w:r>
        <w:rPr>
          <w:rFonts w:hint="eastAsia" w:ascii="宋体" w:hAnsi="宋体" w:eastAsia="宋体" w:cs="宋体"/>
          <w:color w:val="000000"/>
          <w:sz w:val="24"/>
          <w:szCs w:val="24"/>
          <w:highlight w:val="none"/>
        </w:rPr>
      </w:r>
      <w:r/>
    </w:p>
    <w:p>
      <w:pPr>
        <w:pStyle w:val="801"/>
        <w:ind w:firstLine="48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⑶信用信息查询记录和证据留存具体方式：将经查询存在不良信用记录的潜在投标人的查询结果网页截图作为查询记录和证据，与其他采购文件一并保存；</w:t>
      </w:r>
      <w:r>
        <w:rPr>
          <w:rFonts w:hint="eastAsia" w:ascii="宋体" w:hAnsi="宋体" w:eastAsia="宋体" w:cs="宋体"/>
          <w:color w:val="000000"/>
          <w:sz w:val="24"/>
          <w:szCs w:val="24"/>
          <w:highlight w:val="none"/>
        </w:rPr>
      </w:r>
      <w:r/>
    </w:p>
    <w:p>
      <w:pPr>
        <w:pStyle w:val="801"/>
        <w:ind w:firstLine="48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⑷信用信息的使用规则：本政府采购项目的投标人在信用信息查询截止时点（含）之前存在第一章招标公告中所述不良信用记录的，投标无效。</w:t>
      </w:r>
      <w:r>
        <w:rPr>
          <w:rFonts w:hint="eastAsia" w:ascii="宋体" w:hAnsi="宋体" w:eastAsia="宋体" w:cs="宋体"/>
          <w:color w:val="000000"/>
          <w:sz w:val="24"/>
          <w:szCs w:val="24"/>
          <w:highlight w:val="none"/>
        </w:rPr>
      </w:r>
      <w:r/>
    </w:p>
    <w:p>
      <w:pPr>
        <w:pStyle w:val="801"/>
        <w:ind w:firstLine="48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28.2 评委会审查、评价投标文件是否符合招标文件的商务、技术等实质性要求。实质性响应的投标应该是与招标文件要求的全部条款、条件和规格相符，没有重大偏离或保留的投标。</w:t>
      </w:r>
      <w:r>
        <w:rPr>
          <w:rFonts w:hint="eastAsia" w:ascii="宋体" w:hAnsi="宋体" w:eastAsia="宋体" w:cs="宋体"/>
          <w:color w:val="000000"/>
          <w:sz w:val="24"/>
          <w:szCs w:val="24"/>
          <w:highlight w:val="none"/>
        </w:rPr>
      </w:r>
      <w:r/>
    </w:p>
    <w:p>
      <w:pPr>
        <w:pStyle w:val="801"/>
        <w:ind w:firstLine="48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所谓重大偏离或保留是指与招标文件规定的实质性要求存在负偏离，或者在实质上与招标文件不一致，而且限制了合同中发包人和见证方的权利或投标人的义务，纠正这些偏离或保留将会对其他实质性响应要求的投标人的竞争地位产生不公正的影响。重大偏离的认定需经过评委会三分之二及以上成员的认定。评委会决定投标文件的响应性只根据投标文件本身的内容，而不寻求外部的证据。</w:t>
      </w:r>
      <w:r>
        <w:rPr>
          <w:rFonts w:hint="eastAsia" w:ascii="宋体" w:hAnsi="宋体" w:eastAsia="宋体" w:cs="宋体"/>
          <w:color w:val="000000"/>
          <w:sz w:val="24"/>
          <w:szCs w:val="24"/>
          <w:highlight w:val="none"/>
        </w:rPr>
      </w:r>
      <w:r/>
    </w:p>
    <w:p>
      <w:pPr>
        <w:pStyle w:val="801"/>
        <w:ind w:firstLine="48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28.3 如果投标文件实质上没有响应招标文件的要求，评委会将予以拒绝，投标人不得通过修改或撤销不合要求的偏离或保留而使其投标成为实质性响应的投标。</w:t>
      </w:r>
      <w:r>
        <w:rPr>
          <w:rFonts w:hint="eastAsia" w:ascii="宋体" w:hAnsi="宋体" w:eastAsia="宋体" w:cs="宋体"/>
          <w:color w:val="000000"/>
          <w:sz w:val="24"/>
          <w:szCs w:val="24"/>
          <w:highlight w:val="none"/>
        </w:rPr>
      </w:r>
      <w:r/>
    </w:p>
    <w:p>
      <w:pPr>
        <w:pStyle w:val="801"/>
        <w:ind w:firstLine="48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28.4 评委会将对确定为实质性响应的投标进行进一步审核，除前附表另有规定外，若投标文件报价出现前后不一致的，按下列规定修正：</w:t>
      </w:r>
      <w:r>
        <w:rPr>
          <w:rFonts w:hint="eastAsia" w:ascii="宋体" w:hAnsi="宋体" w:eastAsia="宋体" w:cs="宋体"/>
          <w:color w:val="000000"/>
          <w:sz w:val="24"/>
          <w:szCs w:val="24"/>
          <w:highlight w:val="none"/>
        </w:rPr>
      </w:r>
      <w:r/>
    </w:p>
    <w:p>
      <w:pPr>
        <w:pStyle w:val="801"/>
        <w:ind w:firstLine="48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⑴大写金额和小写金额不一致的，以大写金额为准；</w:t>
      </w:r>
      <w:r>
        <w:rPr>
          <w:rFonts w:hint="eastAsia" w:ascii="宋体" w:hAnsi="宋体" w:eastAsia="宋体" w:cs="宋体"/>
          <w:color w:val="000000"/>
          <w:sz w:val="24"/>
          <w:szCs w:val="24"/>
          <w:highlight w:val="none"/>
        </w:rPr>
      </w:r>
      <w:r/>
    </w:p>
    <w:p>
      <w:pPr>
        <w:pStyle w:val="801"/>
        <w:ind w:firstLine="48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⑵单价金额小数点或者百分比有明显错位的，以投标函的总价为准，并修改单价；</w:t>
      </w:r>
      <w:r>
        <w:rPr>
          <w:rFonts w:hint="eastAsia" w:ascii="宋体" w:hAnsi="宋体" w:eastAsia="宋体" w:cs="宋体"/>
          <w:color w:val="000000"/>
          <w:sz w:val="24"/>
          <w:szCs w:val="24"/>
          <w:highlight w:val="none"/>
        </w:rPr>
      </w:r>
      <w:r/>
    </w:p>
    <w:p>
      <w:pPr>
        <w:pStyle w:val="801"/>
        <w:ind w:firstLine="48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⑶总价金额与按单价汇总金额不一致的，以单价金额计算结果为准。</w:t>
      </w:r>
      <w:r>
        <w:rPr>
          <w:rFonts w:hint="eastAsia" w:ascii="宋体" w:hAnsi="宋体" w:eastAsia="宋体" w:cs="宋体"/>
          <w:color w:val="000000"/>
          <w:sz w:val="24"/>
          <w:szCs w:val="24"/>
          <w:highlight w:val="none"/>
        </w:rPr>
      </w:r>
      <w:r/>
    </w:p>
    <w:p>
      <w:pPr>
        <w:pStyle w:val="801"/>
        <w:ind w:firstLine="48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同时出现两种以上不一致的，按照前款规定的顺序修正。修正后的报价经投标人确认后产生约束力。投标人拒绝接受修正的，将作无效投标文件处理。</w:t>
      </w:r>
      <w:r>
        <w:rPr>
          <w:rFonts w:hint="eastAsia" w:ascii="宋体" w:hAnsi="宋体" w:eastAsia="宋体" w:cs="宋体"/>
          <w:color w:val="000000"/>
          <w:sz w:val="24"/>
          <w:szCs w:val="24"/>
          <w:highlight w:val="none"/>
        </w:rPr>
      </w:r>
      <w:r/>
    </w:p>
    <w:p>
      <w:pPr>
        <w:pStyle w:val="801"/>
        <w:ind w:firstLine="48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28.5 评委会将允许修正投标文件中不构成重大偏离的、微小的、非正规的、不一致的或不规则的地方，但这些修改不能影响任何投标人相应的名次排列。</w:t>
      </w:r>
      <w:r>
        <w:rPr>
          <w:rFonts w:hint="eastAsia" w:ascii="宋体" w:hAnsi="宋体" w:eastAsia="宋体" w:cs="宋体"/>
          <w:color w:val="000000"/>
          <w:sz w:val="24"/>
          <w:szCs w:val="24"/>
          <w:highlight w:val="none"/>
        </w:rPr>
      </w:r>
      <w:r/>
    </w:p>
    <w:p>
      <w:pPr>
        <w:pStyle w:val="801"/>
        <w:keepLines w:val="0"/>
        <w:keepNext w:val="0"/>
        <w:pageBreakBefore w:val="0"/>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29．无效投标条款和采购活动终止情形</w:t>
      </w:r>
      <w:r>
        <w:rPr>
          <w:rFonts w:hint="eastAsia" w:ascii="宋体" w:hAnsi="宋体" w:eastAsia="宋体" w:cs="宋体"/>
          <w:b/>
          <w:color w:val="000000"/>
          <w:sz w:val="24"/>
          <w:szCs w:val="24"/>
          <w:highlight w:val="none"/>
        </w:rPr>
      </w:r>
      <w:r/>
    </w:p>
    <w:p>
      <w:pPr>
        <w:pStyle w:val="801"/>
        <w:ind w:firstLine="482"/>
        <w:keepLines w:val="0"/>
        <w:keepNext w:val="0"/>
        <w:pageBreakBefore w:val="0"/>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29.1 无效投标条款</w:t>
      </w:r>
      <w:r>
        <w:rPr>
          <w:rFonts w:hint="eastAsia" w:ascii="宋体" w:hAnsi="宋体" w:eastAsia="宋体" w:cs="宋体"/>
          <w:b/>
          <w:bCs/>
          <w:color w:val="000000"/>
          <w:sz w:val="24"/>
          <w:szCs w:val="24"/>
          <w:highlight w:val="none"/>
        </w:rPr>
      </w:r>
      <w:r/>
    </w:p>
    <w:p>
      <w:pPr>
        <w:pStyle w:val="801"/>
        <w:ind w:firstLine="48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29.1.1 投标文件未按招标文件要求盖章的；</w:t>
      </w:r>
      <w:r>
        <w:rPr>
          <w:rFonts w:hint="eastAsia" w:ascii="宋体" w:hAnsi="宋体" w:eastAsia="宋体" w:cs="宋体"/>
          <w:color w:val="000000"/>
          <w:sz w:val="24"/>
          <w:szCs w:val="24"/>
          <w:highlight w:val="none"/>
        </w:rPr>
      </w:r>
      <w:r/>
    </w:p>
    <w:p>
      <w:pPr>
        <w:pStyle w:val="801"/>
        <w:ind w:firstLine="48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29.1.2 投标文件中任何有选择的报价；</w:t>
      </w:r>
      <w:r>
        <w:rPr>
          <w:rFonts w:hint="eastAsia" w:ascii="宋体" w:hAnsi="宋体" w:eastAsia="宋体" w:cs="宋体"/>
          <w:color w:val="000000"/>
          <w:sz w:val="24"/>
          <w:szCs w:val="24"/>
          <w:highlight w:val="none"/>
        </w:rPr>
      </w:r>
      <w:r/>
    </w:p>
    <w:p>
      <w:pPr>
        <w:pStyle w:val="801"/>
        <w:ind w:firstLine="48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29.1.3 投标文件报价出现前后不一致的，按招标文件规定修正后投标人不确认的</w:t>
      </w:r>
      <w:r>
        <w:rPr>
          <w:rFonts w:hint="eastAsia" w:ascii="宋体" w:hAnsi="宋体" w:eastAsia="宋体" w:cs="宋体"/>
          <w:b/>
          <w:bCs/>
          <w:color w:val="000000"/>
          <w:sz w:val="24"/>
          <w:szCs w:val="24"/>
          <w:highlight w:val="none"/>
        </w:rPr>
        <w:t xml:space="preserve">（包括提供的全费用工程量清单投标报价单分析表的综合单价、总价与全费用工程量清单投标报价单综合单价、总价不一致的）</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01"/>
        <w:ind w:firstLine="48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29.1.4 未按招标文件要求提供投标文件的</w:t>
      </w:r>
      <w:r>
        <w:rPr>
          <w:rFonts w:hint="eastAsia" w:ascii="宋体" w:hAnsi="宋体" w:eastAsia="宋体" w:cs="宋体"/>
          <w:b/>
          <w:bCs/>
          <w:color w:val="000000"/>
          <w:sz w:val="24"/>
          <w:szCs w:val="24"/>
          <w:highlight w:val="none"/>
        </w:rPr>
        <w:t xml:space="preserve">（包括未提供全费用工程量清单投标报价单分析表的）</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01"/>
        <w:ind w:firstLine="48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29.1.5 报价超过招标文件中规定的预算金额或者最高限价的</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包括暂列金、安全生产费用未按照招标文件规定计取的）</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01"/>
        <w:ind w:firstLine="48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29.1.6 评标委员会认定投标人的报价明显低于其他通过符合性审查投标人的报价，有可能影响产品质量或者不能诚信履约，且投标人不能应评标委员会要求在规定时间内提供书面说明，证明其报价合理性的；</w:t>
      </w:r>
      <w:r>
        <w:rPr>
          <w:rFonts w:hint="eastAsia" w:ascii="宋体" w:hAnsi="宋体" w:eastAsia="宋体" w:cs="宋体"/>
          <w:color w:val="000000"/>
          <w:sz w:val="24"/>
          <w:szCs w:val="24"/>
          <w:highlight w:val="none"/>
        </w:rPr>
      </w:r>
      <w:r/>
    </w:p>
    <w:p>
      <w:pPr>
        <w:pStyle w:val="801"/>
        <w:ind w:firstLine="48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29.1.7 凡“节能产品政府采购品目清单”中以★标注的政府强制采购产品，未提供国家确定的认证机构出具的、处于有效期之内的节能产品认证证书复印件的；</w:t>
      </w:r>
      <w:r>
        <w:rPr>
          <w:rFonts w:hint="eastAsia" w:ascii="宋体" w:hAnsi="宋体" w:eastAsia="宋体" w:cs="宋体"/>
          <w:color w:val="000000"/>
          <w:sz w:val="24"/>
          <w:szCs w:val="24"/>
          <w:highlight w:val="none"/>
        </w:rPr>
      </w:r>
      <w:r/>
    </w:p>
    <w:p>
      <w:pPr>
        <w:pStyle w:val="801"/>
        <w:ind w:firstLine="48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29.1.8 投标人被中国政府采购网、信用中国、信用江苏网站列入失信被执行人名单、重大税收违法案件当事人名单、政府采购严重失信行为记录名单的；</w:t>
      </w:r>
      <w:r>
        <w:rPr>
          <w:rFonts w:hint="eastAsia" w:ascii="宋体" w:hAnsi="宋体" w:eastAsia="宋体" w:cs="宋体"/>
          <w:color w:val="000000"/>
          <w:sz w:val="24"/>
          <w:szCs w:val="24"/>
          <w:highlight w:val="none"/>
        </w:rPr>
      </w:r>
      <w:r/>
    </w:p>
    <w:p>
      <w:pPr>
        <w:pStyle w:val="801"/>
        <w:ind w:firstLine="48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29.1.9 不同投标人的单位负责人为同一人或者存在直接控股、管理关系的；</w:t>
      </w:r>
      <w:r>
        <w:rPr>
          <w:rFonts w:hint="eastAsia" w:ascii="宋体" w:hAnsi="宋体" w:eastAsia="宋体" w:cs="宋体"/>
          <w:color w:val="000000"/>
          <w:sz w:val="24"/>
          <w:szCs w:val="24"/>
          <w:highlight w:val="none"/>
        </w:rPr>
      </w:r>
      <w:r/>
    </w:p>
    <w:p>
      <w:pPr>
        <w:pStyle w:val="801"/>
        <w:ind w:firstLine="48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29.1.10 为采购项目提供整体设计、规范编制或者项目管理、监理、检测等服务的；</w:t>
      </w:r>
      <w:r>
        <w:rPr>
          <w:rFonts w:hint="eastAsia" w:ascii="宋体" w:hAnsi="宋体" w:eastAsia="宋体" w:cs="宋体"/>
          <w:color w:val="000000"/>
          <w:sz w:val="24"/>
          <w:szCs w:val="24"/>
          <w:highlight w:val="none"/>
        </w:rPr>
      </w:r>
      <w:r/>
    </w:p>
    <w:p>
      <w:pPr>
        <w:pStyle w:val="801"/>
        <w:ind w:firstLine="48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29.1.11 投标文件含有招标人不能接受的附加条件的；</w:t>
      </w:r>
      <w:r>
        <w:rPr>
          <w:rFonts w:hint="eastAsia" w:ascii="宋体" w:hAnsi="宋体" w:eastAsia="宋体" w:cs="宋体"/>
          <w:color w:val="000000"/>
          <w:sz w:val="24"/>
          <w:szCs w:val="24"/>
          <w:highlight w:val="none"/>
        </w:rPr>
      </w:r>
      <w:r/>
    </w:p>
    <w:p>
      <w:pPr>
        <w:pStyle w:val="801"/>
        <w:ind w:firstLine="482"/>
        <w:keepLines w:val="0"/>
        <w:keepNext w:val="0"/>
        <w:pageBreakBefore w:val="0"/>
        <w:widowControl w:val="off"/>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rPr>
        <w:t xml:space="preserve">29.1.12 </w:t>
      </w:r>
      <w:r>
        <w:rPr>
          <w:rFonts w:hint="eastAsia" w:ascii="宋体" w:hAnsi="宋体" w:eastAsia="宋体" w:cs="宋体"/>
          <w:b/>
          <w:bCs/>
          <w:color w:val="000000"/>
          <w:sz w:val="24"/>
          <w:szCs w:val="24"/>
          <w:highlight w:val="none"/>
          <w:lang w:val="en-US" w:eastAsia="zh-CN"/>
        </w:rPr>
        <w:t xml:space="preserve">未提供</w:t>
      </w:r>
      <w:r>
        <w:rPr>
          <w:rFonts w:hint="eastAsia" w:ascii="宋体" w:hAnsi="宋体" w:eastAsia="宋体" w:cs="宋体"/>
          <w:b/>
          <w:bCs/>
          <w:color w:val="000000"/>
          <w:sz w:val="24"/>
          <w:szCs w:val="24"/>
          <w:highlight w:val="none"/>
        </w:rPr>
        <w:t xml:space="preserve">浮吊船购置证明或租赁意向书或承诺函</w:t>
      </w:r>
      <w:r>
        <w:rPr>
          <w:rFonts w:hint="eastAsia" w:ascii="宋体" w:hAnsi="宋体" w:eastAsia="宋体" w:cs="宋体"/>
          <w:b/>
          <w:bCs/>
          <w:color w:val="000000"/>
          <w:sz w:val="24"/>
          <w:szCs w:val="24"/>
          <w:highlight w:val="none"/>
          <w:lang w:eastAsia="zh-CN"/>
        </w:rPr>
        <w:t xml:space="preserve">的；</w:t>
      </w:r>
      <w:r>
        <w:rPr>
          <w:rFonts w:hint="eastAsia" w:ascii="宋体" w:hAnsi="宋体" w:eastAsia="宋体" w:cs="宋体"/>
          <w:b/>
          <w:bCs/>
          <w:color w:val="000000"/>
          <w:sz w:val="24"/>
          <w:szCs w:val="24"/>
          <w:highlight w:val="none"/>
          <w:lang w:eastAsia="zh-CN"/>
        </w:rPr>
      </w:r>
      <w:r/>
    </w:p>
    <w:p>
      <w:pPr>
        <w:pStyle w:val="801"/>
        <w:ind w:firstLine="482"/>
        <w:keepLines w:val="0"/>
        <w:keepNext w:val="0"/>
        <w:pageBreakBefore w:val="0"/>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29.1.13未提供不违反发包（</w:t>
      </w:r>
      <w:r>
        <w:rPr>
          <w:rFonts w:hint="eastAsia" w:ascii="宋体" w:hAnsi="宋体" w:eastAsia="宋体" w:cs="宋体"/>
          <w:b/>
          <w:bCs/>
          <w:color w:val="000000"/>
          <w:sz w:val="24"/>
          <w:szCs w:val="24"/>
          <w:highlight w:val="none"/>
        </w:rPr>
        <w:t xml:space="preserve">不允许违法分包，任何分包均应按照国家及江苏省有关分包管理的法律法规、行政规章执行</w:t>
      </w:r>
      <w:r>
        <w:rPr>
          <w:rFonts w:hint="eastAsia" w:ascii="宋体" w:hAnsi="宋体" w:eastAsia="宋体" w:cs="宋体"/>
          <w:b/>
          <w:bCs/>
          <w:color w:val="000000"/>
          <w:sz w:val="24"/>
          <w:szCs w:val="24"/>
          <w:highlight w:val="none"/>
          <w:lang w:val="en-US" w:eastAsia="zh-CN"/>
        </w:rPr>
        <w:t xml:space="preserve">）承诺书。</w:t>
      </w:r>
      <w:r>
        <w:rPr>
          <w:rFonts w:hint="eastAsia" w:ascii="宋体" w:hAnsi="宋体" w:eastAsia="宋体" w:cs="宋体"/>
          <w:b/>
          <w:bCs/>
          <w:color w:val="000000"/>
          <w:sz w:val="24"/>
          <w:szCs w:val="24"/>
          <w:highlight w:val="none"/>
          <w:lang w:val="en-US" w:eastAsia="zh-CN"/>
        </w:rPr>
      </w:r>
      <w:r/>
    </w:p>
    <w:p>
      <w:pPr>
        <w:pStyle w:val="801"/>
        <w:ind w:firstLine="48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29.1.14</w:t>
      </w:r>
      <w:r>
        <w:rPr>
          <w:rFonts w:hint="eastAsia" w:ascii="宋体" w:hAnsi="宋体" w:eastAsia="宋体" w:cs="宋体"/>
          <w:color w:val="000000"/>
          <w:sz w:val="24"/>
          <w:szCs w:val="24"/>
          <w:highlight w:val="none"/>
        </w:rPr>
        <w:t xml:space="preserve">法律、法规和招标文件规定的其他无效情形。</w:t>
      </w:r>
      <w:r>
        <w:rPr>
          <w:rFonts w:hint="eastAsia" w:ascii="宋体" w:hAnsi="宋体" w:eastAsia="宋体" w:cs="宋体"/>
          <w:color w:val="000000"/>
          <w:sz w:val="24"/>
          <w:szCs w:val="24"/>
          <w:highlight w:val="none"/>
        </w:rPr>
      </w:r>
      <w:r/>
    </w:p>
    <w:p>
      <w:pPr>
        <w:pStyle w:val="801"/>
        <w:ind w:firstLine="482"/>
        <w:keepLines w:val="0"/>
        <w:keepNext w:val="0"/>
        <w:pageBreakBefore w:val="0"/>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29.2 采购活动终止情形</w:t>
      </w:r>
      <w:r>
        <w:rPr>
          <w:rFonts w:hint="eastAsia" w:ascii="宋体" w:hAnsi="宋体" w:eastAsia="宋体" w:cs="宋体"/>
          <w:b/>
          <w:bCs/>
          <w:color w:val="000000"/>
          <w:sz w:val="24"/>
          <w:szCs w:val="24"/>
          <w:highlight w:val="none"/>
        </w:rPr>
      </w:r>
      <w:r/>
    </w:p>
    <w:p>
      <w:pPr>
        <w:pStyle w:val="801"/>
        <w:ind w:firstLine="48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29.2.1符合专业条件的投标人或者对招标文件作实质响应的投标人不足三家的；</w:t>
      </w:r>
      <w:r>
        <w:rPr>
          <w:rFonts w:hint="eastAsia" w:ascii="宋体" w:hAnsi="宋体" w:eastAsia="宋体" w:cs="宋体"/>
          <w:color w:val="000000"/>
          <w:sz w:val="24"/>
          <w:szCs w:val="24"/>
          <w:highlight w:val="none"/>
        </w:rPr>
      </w:r>
      <w:r/>
    </w:p>
    <w:p>
      <w:pPr>
        <w:pStyle w:val="801"/>
        <w:ind w:firstLine="48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29.2.2出现影响采购公正的违法、违规行为的；</w:t>
      </w:r>
      <w:r>
        <w:rPr>
          <w:rFonts w:hint="eastAsia" w:ascii="宋体" w:hAnsi="宋体" w:eastAsia="宋体" w:cs="宋体"/>
          <w:color w:val="000000"/>
          <w:sz w:val="24"/>
          <w:szCs w:val="24"/>
          <w:highlight w:val="none"/>
        </w:rPr>
      </w:r>
      <w:r/>
    </w:p>
    <w:p>
      <w:pPr>
        <w:pStyle w:val="801"/>
        <w:ind w:firstLine="48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29.2.3因重大变故，采购任务取消的。</w:t>
      </w:r>
      <w:r>
        <w:rPr>
          <w:rFonts w:hint="eastAsia" w:ascii="宋体" w:hAnsi="宋体" w:eastAsia="宋体" w:cs="宋体"/>
          <w:color w:val="000000"/>
          <w:sz w:val="24"/>
          <w:szCs w:val="24"/>
          <w:highlight w:val="none"/>
        </w:rPr>
      </w:r>
      <w:r/>
    </w:p>
    <w:p>
      <w:pPr>
        <w:pStyle w:val="801"/>
        <w:ind w:firstLine="482"/>
        <w:keepLines w:val="0"/>
        <w:keepNext w:val="0"/>
        <w:pageBreakBefore w:val="0"/>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29.3 投标截止时间结束后参加投标的投标人不足三家的处理：</w:t>
      </w:r>
      <w:r>
        <w:rPr>
          <w:rFonts w:hint="eastAsia" w:ascii="宋体" w:hAnsi="宋体" w:eastAsia="宋体" w:cs="宋体"/>
          <w:b/>
          <w:bCs/>
          <w:color w:val="000000"/>
          <w:sz w:val="24"/>
          <w:szCs w:val="24"/>
          <w:highlight w:val="none"/>
        </w:rPr>
      </w:r>
      <w:r/>
    </w:p>
    <w:p>
      <w:pPr>
        <w:pStyle w:val="801"/>
        <w:ind w:firstLine="48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⑴招标文件存在不合理条款或者招标程序不符合规定的，招标人、招标代理机构改正后依法重新招标；</w:t>
      </w:r>
      <w:r>
        <w:rPr>
          <w:rFonts w:hint="eastAsia" w:ascii="宋体" w:hAnsi="宋体" w:eastAsia="宋体" w:cs="宋体"/>
          <w:color w:val="000000"/>
          <w:sz w:val="24"/>
          <w:szCs w:val="24"/>
          <w:highlight w:val="none"/>
        </w:rPr>
      </w:r>
      <w:r/>
    </w:p>
    <w:p>
      <w:pPr>
        <w:pStyle w:val="801"/>
        <w:ind w:firstLine="48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⑵招标文件没有不合理条款、招标程序符合规定，需要采用其他采购方式采购的，招标人应当依法报财政部门批准。</w:t>
      </w:r>
      <w:r>
        <w:rPr>
          <w:rFonts w:hint="eastAsia" w:ascii="宋体" w:hAnsi="宋体" w:eastAsia="宋体" w:cs="宋体"/>
          <w:color w:val="000000"/>
          <w:sz w:val="24"/>
          <w:szCs w:val="24"/>
          <w:highlight w:val="none"/>
        </w:rPr>
      </w:r>
      <w:r/>
    </w:p>
    <w:p>
      <w:pPr>
        <w:pStyle w:val="801"/>
        <w:keepLines w:val="0"/>
        <w:keepNext w:val="0"/>
        <w:pageBreakBefore w:val="0"/>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六、定标</w:t>
      </w:r>
      <w:r>
        <w:rPr>
          <w:rFonts w:hint="eastAsia" w:ascii="宋体" w:hAnsi="宋体" w:eastAsia="宋体" w:cs="宋体"/>
          <w:b/>
          <w:color w:val="000000"/>
          <w:sz w:val="24"/>
          <w:szCs w:val="24"/>
          <w:highlight w:val="none"/>
        </w:rPr>
      </w:r>
      <w:r/>
    </w:p>
    <w:p>
      <w:pPr>
        <w:pStyle w:val="801"/>
        <w:keepLines w:val="0"/>
        <w:keepNext w:val="0"/>
        <w:pageBreakBefore w:val="0"/>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30．确定中标单位</w:t>
      </w:r>
      <w:r>
        <w:rPr>
          <w:rFonts w:hint="eastAsia" w:ascii="宋体" w:hAnsi="宋体" w:eastAsia="宋体" w:cs="宋体"/>
          <w:b/>
          <w:color w:val="000000"/>
          <w:sz w:val="24"/>
          <w:szCs w:val="24"/>
          <w:highlight w:val="none"/>
        </w:rPr>
      </w:r>
      <w:r/>
    </w:p>
    <w:p>
      <w:pPr>
        <w:pStyle w:val="801"/>
        <w:ind w:firstLine="48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30.1 评委会根据本招标文件规定评分办法与评分标准推荐中标候选人顺序。</w:t>
      </w:r>
      <w:r>
        <w:rPr>
          <w:rFonts w:hint="eastAsia" w:ascii="宋体" w:hAnsi="宋体" w:eastAsia="宋体" w:cs="宋体"/>
          <w:color w:val="000000"/>
          <w:sz w:val="24"/>
          <w:szCs w:val="24"/>
          <w:highlight w:val="none"/>
        </w:rPr>
      </w:r>
      <w:r/>
    </w:p>
    <w:p>
      <w:pPr>
        <w:pStyle w:val="801"/>
        <w:ind w:firstLine="48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30.2 中标候选人依据得分由高到低进行排名。</w:t>
      </w:r>
      <w:r>
        <w:rPr>
          <w:rFonts w:hint="eastAsia" w:ascii="宋体" w:hAnsi="宋体" w:eastAsia="宋体" w:cs="宋体"/>
          <w:color w:val="000000"/>
          <w:sz w:val="24"/>
          <w:szCs w:val="24"/>
          <w:highlight w:val="none"/>
        </w:rPr>
      </w:r>
      <w:r/>
    </w:p>
    <w:p>
      <w:pPr>
        <w:pStyle w:val="801"/>
        <w:ind w:firstLine="48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30.3 中标人名单将在“江苏政府采购网”进行公示，公示时间为一个工作日。</w:t>
      </w:r>
      <w:r>
        <w:rPr>
          <w:rFonts w:hint="eastAsia" w:ascii="宋体" w:hAnsi="宋体" w:eastAsia="宋体" w:cs="宋体"/>
          <w:color w:val="000000"/>
          <w:sz w:val="24"/>
          <w:szCs w:val="24"/>
          <w:highlight w:val="none"/>
        </w:rPr>
      </w:r>
      <w:r/>
    </w:p>
    <w:p>
      <w:pPr>
        <w:pStyle w:val="801"/>
        <w:ind w:firstLine="48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30.4 若有充分证据证明，中标人出现下列情况之一的，一经查实，将被取消中标资格：</w:t>
      </w:r>
      <w:r>
        <w:rPr>
          <w:rFonts w:hint="eastAsia" w:ascii="宋体" w:hAnsi="宋体" w:eastAsia="宋体" w:cs="宋体"/>
          <w:color w:val="000000"/>
          <w:sz w:val="24"/>
          <w:szCs w:val="24"/>
          <w:highlight w:val="none"/>
        </w:rPr>
      </w:r>
      <w:r/>
    </w:p>
    <w:p>
      <w:pPr>
        <w:pStyle w:val="801"/>
        <w:ind w:firstLine="48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⑴提供虚假材料谋取中标的；</w:t>
      </w:r>
      <w:r>
        <w:rPr>
          <w:rFonts w:hint="eastAsia" w:ascii="宋体" w:hAnsi="宋体" w:eastAsia="宋体" w:cs="宋体"/>
          <w:color w:val="000000"/>
          <w:sz w:val="24"/>
          <w:szCs w:val="24"/>
          <w:highlight w:val="none"/>
        </w:rPr>
      </w:r>
      <w:r/>
    </w:p>
    <w:p>
      <w:pPr>
        <w:pStyle w:val="801"/>
        <w:ind w:firstLine="48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⑵与评标专家、招标人、其他投标人或者招标代理机构工作人员恶意串通的；</w:t>
      </w:r>
      <w:r>
        <w:rPr>
          <w:rFonts w:hint="eastAsia" w:ascii="宋体" w:hAnsi="宋体" w:eastAsia="宋体" w:cs="宋体"/>
          <w:color w:val="000000"/>
          <w:sz w:val="24"/>
          <w:szCs w:val="24"/>
          <w:highlight w:val="none"/>
        </w:rPr>
      </w:r>
      <w:r/>
    </w:p>
    <w:p>
      <w:pPr>
        <w:pStyle w:val="801"/>
        <w:ind w:firstLine="48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⑶向评标专家、招标人或招标代理机构工作人员行贿或者提供其他不正当利益的；</w:t>
      </w:r>
      <w:r>
        <w:rPr>
          <w:rFonts w:hint="eastAsia" w:ascii="宋体" w:hAnsi="宋体" w:eastAsia="宋体" w:cs="宋体"/>
          <w:color w:val="000000"/>
          <w:sz w:val="24"/>
          <w:szCs w:val="24"/>
          <w:highlight w:val="none"/>
        </w:rPr>
      </w:r>
      <w:r/>
    </w:p>
    <w:p>
      <w:pPr>
        <w:pStyle w:val="801"/>
        <w:ind w:firstLine="48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⑷不满足本招标文件规定的实质性要求，但在评标过程中又未被评委会发现的；</w:t>
      </w:r>
      <w:r>
        <w:rPr>
          <w:rFonts w:hint="eastAsia" w:ascii="宋体" w:hAnsi="宋体" w:eastAsia="宋体" w:cs="宋体"/>
          <w:color w:val="000000"/>
          <w:sz w:val="24"/>
          <w:szCs w:val="24"/>
          <w:highlight w:val="none"/>
        </w:rPr>
      </w:r>
      <w:r/>
    </w:p>
    <w:p>
      <w:pPr>
        <w:pStyle w:val="801"/>
        <w:ind w:firstLine="48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⑸其他不符合法律、法规规定的。</w:t>
      </w:r>
      <w:r>
        <w:rPr>
          <w:rFonts w:hint="eastAsia" w:ascii="宋体" w:hAnsi="宋体" w:eastAsia="宋体" w:cs="宋体"/>
          <w:color w:val="000000"/>
          <w:sz w:val="24"/>
          <w:szCs w:val="24"/>
          <w:highlight w:val="none"/>
        </w:rPr>
      </w:r>
      <w:r/>
    </w:p>
    <w:p>
      <w:pPr>
        <w:pStyle w:val="801"/>
        <w:keepLines w:val="0"/>
        <w:keepNext w:val="0"/>
        <w:pageBreakBefore w:val="0"/>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31．质疑</w:t>
      </w:r>
      <w:r>
        <w:rPr>
          <w:rFonts w:hint="eastAsia" w:ascii="宋体" w:hAnsi="宋体" w:eastAsia="宋体" w:cs="宋体"/>
          <w:b/>
          <w:color w:val="000000"/>
          <w:sz w:val="24"/>
          <w:szCs w:val="24"/>
          <w:highlight w:val="none"/>
        </w:rPr>
      </w:r>
      <w:r/>
    </w:p>
    <w:p>
      <w:pPr>
        <w:pStyle w:val="801"/>
        <w:ind w:firstLine="48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31.1 质疑形式</w:t>
      </w:r>
      <w:r>
        <w:rPr>
          <w:rFonts w:hint="eastAsia" w:ascii="宋体" w:hAnsi="宋体" w:eastAsia="宋体" w:cs="宋体"/>
          <w:color w:val="000000"/>
          <w:sz w:val="24"/>
          <w:szCs w:val="24"/>
          <w:highlight w:val="none"/>
        </w:rPr>
      </w:r>
      <w:r/>
    </w:p>
    <w:p>
      <w:pPr>
        <w:pStyle w:val="801"/>
        <w:ind w:firstLine="48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31.1.1 投标人认为采购文件、采购过程和采购结果使自己的权益受到损害的，可以在知道或应知其权益受到损害之日起七个工作日内，以书面形式提出质疑（涉及技术和商务条款问题的，向采购单位提出；涉及采购程序问题的，向招标代理机构提出）。非书面形式、七个工作日之外提交的质疑将不予受理。</w:t>
      </w:r>
      <w:r>
        <w:rPr>
          <w:rFonts w:hint="eastAsia" w:ascii="宋体" w:hAnsi="宋体" w:eastAsia="宋体" w:cs="宋体"/>
          <w:color w:val="000000"/>
          <w:sz w:val="24"/>
          <w:szCs w:val="24"/>
          <w:highlight w:val="none"/>
        </w:rPr>
      </w:r>
      <w:r/>
    </w:p>
    <w:p>
      <w:pPr>
        <w:pStyle w:val="801"/>
        <w:ind w:firstLine="48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31.1.2 质疑必须按《政府采购法》《政府采购法实施条例》及财政部94号令的相关规定提交，未按上述要求提交的质疑函招标代理机构有权不予受理。</w:t>
      </w:r>
      <w:r>
        <w:rPr>
          <w:rFonts w:hint="eastAsia" w:ascii="宋体" w:hAnsi="宋体" w:eastAsia="宋体" w:cs="宋体"/>
          <w:color w:val="000000"/>
          <w:sz w:val="24"/>
          <w:szCs w:val="24"/>
          <w:highlight w:val="none"/>
        </w:rPr>
      </w:r>
      <w:r/>
    </w:p>
    <w:p>
      <w:pPr>
        <w:pStyle w:val="801"/>
        <w:ind w:firstLine="48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31.1.3 质疑函应当包括下列内容：</w:t>
      </w:r>
      <w:r>
        <w:rPr>
          <w:rFonts w:hint="eastAsia" w:ascii="宋体" w:hAnsi="宋体" w:eastAsia="宋体" w:cs="宋体"/>
          <w:color w:val="000000"/>
          <w:sz w:val="24"/>
          <w:szCs w:val="24"/>
          <w:highlight w:val="none"/>
        </w:rPr>
      </w:r>
      <w:r/>
    </w:p>
    <w:p>
      <w:pPr>
        <w:pStyle w:val="801"/>
        <w:ind w:firstLine="48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31.1.3.1 投标人的姓名或者名称、地址、邮编、联系人及联系电话；</w:t>
      </w:r>
      <w:r>
        <w:rPr>
          <w:rFonts w:hint="eastAsia" w:ascii="宋体" w:hAnsi="宋体" w:eastAsia="宋体" w:cs="宋体"/>
          <w:color w:val="000000"/>
          <w:sz w:val="24"/>
          <w:szCs w:val="24"/>
          <w:highlight w:val="none"/>
        </w:rPr>
      </w:r>
      <w:r/>
    </w:p>
    <w:p>
      <w:pPr>
        <w:pStyle w:val="801"/>
        <w:ind w:firstLine="48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31.1.3.2 质疑项目的名称、编号；</w:t>
      </w:r>
      <w:r>
        <w:rPr>
          <w:rFonts w:hint="eastAsia" w:ascii="宋体" w:hAnsi="宋体" w:eastAsia="宋体" w:cs="宋体"/>
          <w:color w:val="000000"/>
          <w:sz w:val="24"/>
          <w:szCs w:val="24"/>
          <w:highlight w:val="none"/>
        </w:rPr>
      </w:r>
      <w:r/>
    </w:p>
    <w:p>
      <w:pPr>
        <w:pStyle w:val="801"/>
        <w:ind w:firstLine="48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31.1.3.3 具体、明确的质疑事项和与质疑事项相关的请求；</w:t>
      </w:r>
      <w:r>
        <w:rPr>
          <w:rFonts w:hint="eastAsia" w:ascii="宋体" w:hAnsi="宋体" w:eastAsia="宋体" w:cs="宋体"/>
          <w:color w:val="000000"/>
          <w:sz w:val="24"/>
          <w:szCs w:val="24"/>
          <w:highlight w:val="none"/>
        </w:rPr>
      </w:r>
      <w:r/>
    </w:p>
    <w:p>
      <w:pPr>
        <w:pStyle w:val="801"/>
        <w:ind w:firstLine="48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31.1.3.4 事实依据；</w:t>
      </w:r>
      <w:r>
        <w:rPr>
          <w:rFonts w:hint="eastAsia" w:ascii="宋体" w:hAnsi="宋体" w:eastAsia="宋体" w:cs="宋体"/>
          <w:color w:val="000000"/>
          <w:sz w:val="24"/>
          <w:szCs w:val="24"/>
          <w:highlight w:val="none"/>
        </w:rPr>
      </w:r>
      <w:r/>
    </w:p>
    <w:p>
      <w:pPr>
        <w:pStyle w:val="801"/>
        <w:ind w:firstLine="48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31.1.3.5 必要的法律依据；</w:t>
      </w:r>
      <w:r>
        <w:rPr>
          <w:rFonts w:hint="eastAsia" w:ascii="宋体" w:hAnsi="宋体" w:eastAsia="宋体" w:cs="宋体"/>
          <w:color w:val="000000"/>
          <w:sz w:val="24"/>
          <w:szCs w:val="24"/>
          <w:highlight w:val="none"/>
        </w:rPr>
      </w:r>
      <w:r/>
    </w:p>
    <w:p>
      <w:pPr>
        <w:pStyle w:val="801"/>
        <w:ind w:firstLine="48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31.1.3.6 提出质疑的日期。</w:t>
      </w:r>
      <w:r>
        <w:rPr>
          <w:rFonts w:hint="eastAsia" w:ascii="宋体" w:hAnsi="宋体" w:eastAsia="宋体" w:cs="宋体"/>
          <w:color w:val="000000"/>
          <w:sz w:val="24"/>
          <w:szCs w:val="24"/>
          <w:highlight w:val="none"/>
        </w:rPr>
      </w:r>
      <w:r/>
    </w:p>
    <w:p>
      <w:pPr>
        <w:pStyle w:val="801"/>
        <w:ind w:firstLine="48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31.1.4 质疑函应当由法定代表人、主要负责人，或者其授权代表签字或者盖章，并加盖公章。匿名提交的质疑将不予受理。</w:t>
      </w:r>
      <w:r>
        <w:rPr>
          <w:rFonts w:hint="eastAsia" w:ascii="宋体" w:hAnsi="宋体" w:eastAsia="宋体" w:cs="宋体"/>
          <w:color w:val="000000"/>
          <w:sz w:val="24"/>
          <w:szCs w:val="24"/>
          <w:highlight w:val="none"/>
        </w:rPr>
      </w:r>
      <w:r/>
    </w:p>
    <w:p>
      <w:pPr>
        <w:pStyle w:val="801"/>
        <w:ind w:firstLine="48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31.1.5 质疑的送达方式</w:t>
      </w:r>
      <w:r>
        <w:rPr>
          <w:rFonts w:hint="eastAsia" w:ascii="宋体" w:hAnsi="宋体" w:eastAsia="宋体" w:cs="宋体"/>
          <w:color w:val="000000"/>
          <w:sz w:val="24"/>
          <w:szCs w:val="24"/>
          <w:highlight w:val="none"/>
        </w:rPr>
      </w:r>
      <w:r/>
    </w:p>
    <w:p>
      <w:pPr>
        <w:pStyle w:val="801"/>
        <w:ind w:firstLine="48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31.1.5.1 质疑函应采用邮寄送达或直接送达的方式递交，采用其他方式送达（含传真、电子邮件等）的，招标代理机构有权不予受理。</w:t>
      </w:r>
      <w:r>
        <w:rPr>
          <w:rFonts w:hint="eastAsia" w:ascii="宋体" w:hAnsi="宋体" w:eastAsia="宋体" w:cs="宋体"/>
          <w:color w:val="000000"/>
          <w:sz w:val="24"/>
          <w:szCs w:val="24"/>
          <w:highlight w:val="none"/>
        </w:rPr>
      </w:r>
      <w:r/>
    </w:p>
    <w:p>
      <w:pPr>
        <w:pStyle w:val="801"/>
        <w:ind w:firstLine="48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31.2 特别提示</w:t>
      </w:r>
      <w:r>
        <w:rPr>
          <w:rFonts w:hint="eastAsia" w:ascii="宋体" w:hAnsi="宋体" w:eastAsia="宋体" w:cs="宋体"/>
          <w:color w:val="000000"/>
          <w:sz w:val="24"/>
          <w:szCs w:val="24"/>
          <w:highlight w:val="none"/>
        </w:rPr>
      </w:r>
      <w:r/>
    </w:p>
    <w:p>
      <w:pPr>
        <w:pStyle w:val="801"/>
        <w:ind w:firstLine="48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31.2.1 根据财政部94号令第十一条规定，提出质疑的投标人应当是参与所质疑项目采购活动的投标人。</w:t>
      </w:r>
      <w:r>
        <w:rPr>
          <w:rFonts w:hint="eastAsia" w:ascii="宋体" w:hAnsi="宋体" w:eastAsia="宋体" w:cs="宋体"/>
          <w:color w:val="000000"/>
          <w:sz w:val="24"/>
          <w:szCs w:val="24"/>
          <w:highlight w:val="none"/>
        </w:rPr>
      </w:r>
      <w:r/>
    </w:p>
    <w:p>
      <w:pPr>
        <w:pStyle w:val="801"/>
        <w:ind w:firstLine="48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31.2.2 投标人在法定质疑期内应一次性提出针对同一采购程序环节的质疑。</w:t>
      </w:r>
      <w:r>
        <w:rPr>
          <w:rFonts w:hint="eastAsia" w:ascii="宋体" w:hAnsi="宋体" w:eastAsia="宋体" w:cs="宋体"/>
          <w:color w:val="000000"/>
          <w:sz w:val="24"/>
          <w:szCs w:val="24"/>
          <w:highlight w:val="none"/>
        </w:rPr>
      </w:r>
      <w:r/>
    </w:p>
    <w:p>
      <w:pPr>
        <w:pStyle w:val="801"/>
        <w:ind w:firstLine="48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31.2.3 投标人提出书面质疑必须有理、有据，不得恶意质疑或提交虚假质疑。否则，一经查实，招标人或招标代理机构有权依据政府采购的有关规定，报请政府采购监管部门对该投标人进行相应的行政处罚。</w:t>
      </w:r>
      <w:r>
        <w:rPr>
          <w:rFonts w:hint="eastAsia" w:ascii="宋体" w:hAnsi="宋体" w:eastAsia="宋体" w:cs="宋体"/>
          <w:color w:val="000000"/>
          <w:sz w:val="24"/>
          <w:szCs w:val="24"/>
          <w:highlight w:val="none"/>
        </w:rPr>
      </w:r>
      <w:r/>
    </w:p>
    <w:p>
      <w:pPr>
        <w:pStyle w:val="801"/>
        <w:ind w:firstLine="48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31.3 其他</w:t>
      </w:r>
      <w:r>
        <w:rPr>
          <w:rFonts w:hint="eastAsia" w:ascii="宋体" w:hAnsi="宋体" w:eastAsia="宋体" w:cs="宋体"/>
          <w:color w:val="000000"/>
          <w:sz w:val="24"/>
          <w:szCs w:val="24"/>
          <w:highlight w:val="none"/>
        </w:rPr>
      </w:r>
      <w:r/>
    </w:p>
    <w:p>
      <w:pPr>
        <w:pStyle w:val="801"/>
        <w:ind w:firstLine="48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31.3.1 接收质疑函的联系部门、联系电话和通讯地址同招标公告中本次招标联系事项一致。</w:t>
      </w:r>
      <w:r>
        <w:rPr>
          <w:rFonts w:hint="eastAsia" w:ascii="宋体" w:hAnsi="宋体" w:eastAsia="宋体" w:cs="宋体"/>
          <w:color w:val="000000"/>
          <w:sz w:val="24"/>
          <w:szCs w:val="24"/>
          <w:highlight w:val="none"/>
        </w:rPr>
      </w:r>
      <w:r/>
    </w:p>
    <w:p>
      <w:pPr>
        <w:pStyle w:val="801"/>
        <w:ind w:firstLine="48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31.3.2 招标人或招标代理机构应当在收到投标人的书面质疑后七个工作日内作出答复，并以书面形式通知质疑投标人和其他有关投标人，但答复的内容不得涉及商业秘密。</w:t>
      </w:r>
      <w:r>
        <w:rPr>
          <w:rFonts w:hint="eastAsia" w:ascii="宋体" w:hAnsi="宋体" w:eastAsia="宋体" w:cs="宋体"/>
          <w:color w:val="000000"/>
          <w:sz w:val="24"/>
          <w:szCs w:val="24"/>
          <w:highlight w:val="none"/>
        </w:rPr>
      </w:r>
      <w:r/>
    </w:p>
    <w:p>
      <w:pPr>
        <w:pStyle w:val="801"/>
        <w:keepLines w:val="0"/>
        <w:keepNext w:val="0"/>
        <w:pageBreakBefore w:val="0"/>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32．中标通知书</w:t>
      </w:r>
      <w:r>
        <w:rPr>
          <w:rFonts w:hint="eastAsia" w:ascii="宋体" w:hAnsi="宋体" w:eastAsia="宋体" w:cs="宋体"/>
          <w:b/>
          <w:color w:val="000000"/>
          <w:sz w:val="24"/>
          <w:szCs w:val="24"/>
          <w:highlight w:val="none"/>
        </w:rPr>
      </w:r>
      <w:r/>
    </w:p>
    <w:p>
      <w:pPr>
        <w:pStyle w:val="801"/>
        <w:ind w:firstLine="48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32.1 自中标人确定之日起2个工作日内，招标人在江苏政府采购网公布中标结果，同时向中标人发出中标通知书。</w:t>
      </w:r>
      <w:r>
        <w:rPr>
          <w:rFonts w:hint="eastAsia" w:ascii="宋体" w:hAnsi="宋体" w:eastAsia="宋体" w:cs="宋体"/>
          <w:color w:val="000000"/>
          <w:sz w:val="24"/>
          <w:szCs w:val="24"/>
          <w:highlight w:val="none"/>
        </w:rPr>
      </w:r>
      <w:r/>
    </w:p>
    <w:p>
      <w:pPr>
        <w:pStyle w:val="801"/>
        <w:ind w:firstLine="48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32.2 中标通知书将是合同的一个组成部分。对招标人和中标人均具有法律效力。中标通知书发出后，招标人改变中标结果的，或者中标人放弃中标项目的，应当依法承担法律责任。</w:t>
      </w:r>
      <w:r>
        <w:rPr>
          <w:rFonts w:hint="eastAsia" w:ascii="宋体" w:hAnsi="宋体" w:eastAsia="宋体" w:cs="宋体"/>
          <w:color w:val="000000"/>
          <w:sz w:val="24"/>
          <w:szCs w:val="24"/>
          <w:highlight w:val="none"/>
        </w:rPr>
      </w:r>
      <w:r/>
    </w:p>
    <w:p>
      <w:pPr>
        <w:pStyle w:val="801"/>
        <w:keepLines w:val="0"/>
        <w:keepNext w:val="0"/>
        <w:pageBreakBefore w:val="0"/>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七、授予合同</w:t>
      </w:r>
      <w:r>
        <w:rPr>
          <w:rFonts w:hint="eastAsia" w:ascii="宋体" w:hAnsi="宋体" w:eastAsia="宋体" w:cs="宋体"/>
          <w:b/>
          <w:color w:val="000000"/>
          <w:sz w:val="24"/>
          <w:szCs w:val="24"/>
          <w:highlight w:val="none"/>
        </w:rPr>
      </w:r>
      <w:r/>
    </w:p>
    <w:p>
      <w:pPr>
        <w:pStyle w:val="801"/>
        <w:keepLines w:val="0"/>
        <w:keepNext w:val="0"/>
        <w:pageBreakBefore w:val="0"/>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33．签订合同</w:t>
      </w:r>
      <w:r>
        <w:rPr>
          <w:rFonts w:hint="eastAsia" w:ascii="宋体" w:hAnsi="宋体" w:eastAsia="宋体" w:cs="宋体"/>
          <w:b/>
          <w:color w:val="000000"/>
          <w:sz w:val="24"/>
          <w:szCs w:val="24"/>
          <w:highlight w:val="none"/>
        </w:rPr>
      </w:r>
      <w:r/>
    </w:p>
    <w:p>
      <w:pPr>
        <w:pStyle w:val="801"/>
        <w:ind w:firstLine="48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33.1 </w:t>
      </w:r>
      <w:r>
        <w:rPr>
          <w:rFonts w:hint="eastAsia" w:ascii="宋体" w:hAnsi="宋体" w:eastAsia="宋体" w:cs="宋体"/>
          <w:b/>
          <w:color w:val="000000"/>
          <w:sz w:val="24"/>
          <w:szCs w:val="24"/>
          <w:highlight w:val="none"/>
        </w:rPr>
        <w:t xml:space="preserve">中标人应按中标通知书规定的时间、地点，按照招标文件确定的事项与发包人签订政府采购合同</w:t>
      </w:r>
      <w:r>
        <w:rPr>
          <w:rFonts w:hint="eastAsia" w:ascii="宋体" w:hAnsi="宋体" w:eastAsia="宋体" w:cs="宋体"/>
          <w:color w:val="000000"/>
          <w:sz w:val="24"/>
          <w:szCs w:val="24"/>
          <w:highlight w:val="none"/>
        </w:rPr>
        <w:t xml:space="preserve">，且不得迟于中标通知书发出之日起三十日内，由此给招标人及发包人造成损失的，中标人还应承担赔偿责任。</w:t>
      </w:r>
      <w:r>
        <w:rPr>
          <w:rFonts w:hint="eastAsia" w:ascii="宋体" w:hAnsi="宋体" w:eastAsia="宋体" w:cs="宋体"/>
          <w:color w:val="000000"/>
          <w:sz w:val="24"/>
          <w:szCs w:val="24"/>
          <w:highlight w:val="none"/>
        </w:rPr>
      </w:r>
      <w:r/>
    </w:p>
    <w:p>
      <w:pPr>
        <w:pStyle w:val="801"/>
        <w:ind w:firstLine="48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33.2 招标文件、中标人的投标文件及招标过程中有关澄清、承诺文件均应作为合同附件。</w:t>
      </w:r>
      <w:r>
        <w:rPr>
          <w:rFonts w:hint="eastAsia" w:ascii="宋体" w:hAnsi="宋体" w:eastAsia="宋体" w:cs="宋体"/>
          <w:color w:val="000000"/>
          <w:sz w:val="24"/>
          <w:szCs w:val="24"/>
          <w:highlight w:val="none"/>
        </w:rPr>
      </w:r>
      <w:r/>
    </w:p>
    <w:p>
      <w:pPr>
        <w:pStyle w:val="801"/>
        <w:ind w:firstLine="48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33.3 签订合同后，中标人不得相关服务进行转包和违法分包。</w:t>
      </w:r>
      <w:r>
        <w:rPr>
          <w:rFonts w:hint="eastAsia" w:ascii="宋体" w:hAnsi="宋体" w:eastAsia="宋体" w:cs="宋体"/>
          <w:color w:val="000000"/>
          <w:sz w:val="24"/>
          <w:szCs w:val="24"/>
          <w:highlight w:val="none"/>
        </w:rPr>
      </w:r>
      <w:r/>
    </w:p>
    <w:p>
      <w:pPr>
        <w:pStyle w:val="801"/>
        <w:keepLines w:val="0"/>
        <w:keepNext w:val="0"/>
        <w:pageBreakBefore w:val="0"/>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34．履约保证金</w:t>
      </w:r>
      <w:r>
        <w:rPr>
          <w:rFonts w:hint="eastAsia" w:ascii="宋体" w:hAnsi="宋体" w:eastAsia="宋体" w:cs="宋体"/>
          <w:b/>
          <w:color w:val="000000"/>
          <w:sz w:val="24"/>
          <w:szCs w:val="24"/>
          <w:highlight w:val="none"/>
        </w:rPr>
      </w:r>
      <w:r/>
    </w:p>
    <w:p>
      <w:pPr>
        <w:pStyle w:val="801"/>
        <w:ind w:firstLine="482"/>
        <w:keepLines w:val="0"/>
        <w:keepNext w:val="0"/>
        <w:pageBreakBefore w:val="0"/>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合同签订前，中标人应向发包人缴纳履约保证金。</w:t>
      </w:r>
      <w:r>
        <w:rPr>
          <w:rFonts w:hint="eastAsia" w:ascii="宋体" w:hAnsi="宋体" w:eastAsia="宋体" w:cs="宋体"/>
          <w:b/>
          <w:color w:val="000000"/>
          <w:sz w:val="24"/>
          <w:szCs w:val="24"/>
          <w:highlight w:val="none"/>
        </w:rPr>
      </w:r>
      <w:r/>
    </w:p>
    <w:p>
      <w:pPr>
        <w:pStyle w:val="801"/>
        <w:ind w:firstLine="48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履约保证金的形式：银行保函或现金（电汇或银行汇票形式）等。采用银行保函时，出具保函的银行须具有相应担保能力，且按照招标人批准的格式出具，所需费用由中标人承担。</w:t>
      </w:r>
      <w:r>
        <w:rPr>
          <w:rFonts w:hint="eastAsia" w:ascii="宋体" w:hAnsi="宋体" w:eastAsia="宋体" w:cs="宋体"/>
          <w:color w:val="000000"/>
          <w:sz w:val="24"/>
          <w:szCs w:val="24"/>
          <w:highlight w:val="none"/>
        </w:rPr>
      </w:r>
      <w:r/>
    </w:p>
    <w:p>
      <w:pPr>
        <w:pStyle w:val="801"/>
        <w:keepLines w:val="0"/>
        <w:keepNext w:val="0"/>
        <w:pageBreakBefore w:val="0"/>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35．监督</w:t>
      </w:r>
      <w:r>
        <w:rPr>
          <w:rFonts w:hint="eastAsia" w:ascii="宋体" w:hAnsi="宋体" w:eastAsia="宋体" w:cs="宋体"/>
          <w:b/>
          <w:color w:val="000000"/>
          <w:sz w:val="24"/>
          <w:szCs w:val="24"/>
          <w:highlight w:val="none"/>
        </w:rPr>
      </w:r>
      <w:r/>
    </w:p>
    <w:p>
      <w:pPr>
        <w:pStyle w:val="801"/>
        <w:ind w:firstLine="48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行业监督部门将对招标投标全过程进行监督。</w:t>
      </w:r>
      <w:r>
        <w:rPr>
          <w:rFonts w:hint="eastAsia" w:ascii="宋体" w:hAnsi="宋体" w:eastAsia="宋体" w:cs="宋体"/>
          <w:color w:val="000000"/>
          <w:sz w:val="24"/>
          <w:szCs w:val="24"/>
          <w:highlight w:val="none"/>
        </w:rPr>
      </w:r>
      <w:r/>
    </w:p>
    <w:p>
      <w:pPr>
        <w:pStyle w:val="801"/>
        <w:jc w:val="center"/>
        <w:rPr>
          <w:rFonts w:hint="eastAsia" w:ascii="宋体" w:hAnsi="宋体" w:eastAsia="宋体" w:cs="宋体"/>
          <w:color w:val="000000"/>
          <w:szCs w:val="21"/>
          <w:highlight w:val="none"/>
        </w:rPr>
      </w:pPr>
      <w:r>
        <w:rPr>
          <w:rFonts w:hint="eastAsia" w:ascii="宋体" w:hAnsi="宋体" w:eastAsia="宋体" w:cs="宋体"/>
          <w:color w:val="000000"/>
          <w:sz w:val="24"/>
          <w:szCs w:val="24"/>
          <w:highlight w:val="none"/>
        </w:rPr>
        <w:br w:type="page" w:clear="all"/>
      </w:r>
      <w:bookmarkStart w:id="121" w:name="_Toc211090859"/>
      <w:r>
        <w:rPr>
          <w:rFonts w:hint="eastAsia" w:ascii="宋体" w:hAnsi="宋体" w:eastAsia="宋体" w:cs="宋体"/>
          <w:b/>
          <w:bCs/>
          <w:color w:val="000000"/>
          <w:sz w:val="44"/>
          <w:szCs w:val="44"/>
          <w:highlight w:val="none"/>
        </w:rPr>
        <w:t xml:space="preserve">第三章  评标办法</w:t>
      </w:r>
      <w:bookmarkEnd w:id="121"/>
      <w:r>
        <w:rPr>
          <w:rFonts w:hint="eastAsia" w:ascii="宋体" w:hAnsi="宋体" w:eastAsia="宋体" w:cs="宋体"/>
          <w:color w:val="000000"/>
          <w:szCs w:val="21"/>
          <w:highlight w:val="none"/>
        </w:rPr>
      </w:r>
      <w:r/>
    </w:p>
    <w:p>
      <w:pPr>
        <w:pStyle w:val="858"/>
        <w:contextualSpacing/>
        <w:ind w:firstLine="0"/>
        <w:jc w:val="both"/>
        <w:keepLines w:val="0"/>
        <w:keepNext w:val="0"/>
        <w:pageBreakBefore w:val="0"/>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一、评标方法</w:t>
      </w:r>
      <w:r>
        <w:rPr>
          <w:rFonts w:hint="eastAsia" w:ascii="宋体" w:hAnsi="宋体" w:eastAsia="宋体" w:cs="宋体"/>
          <w:b/>
          <w:bCs/>
          <w:color w:val="000000"/>
          <w:sz w:val="24"/>
          <w:szCs w:val="24"/>
          <w:highlight w:val="none"/>
        </w:rPr>
      </w:r>
      <w:r/>
    </w:p>
    <w:p>
      <w:pPr>
        <w:pStyle w:val="801"/>
        <w:contextualSpacing/>
        <w:jc w:val="both"/>
        <w:keepLines w:val="0"/>
        <w:keepNext w:val="0"/>
        <w:pageBreakBefore w:val="0"/>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1、本次评标采用综合评分法</w:t>
      </w:r>
      <w:r>
        <w:rPr>
          <w:rFonts w:hint="eastAsia" w:ascii="宋体" w:hAnsi="宋体" w:eastAsia="宋体" w:cs="宋体"/>
          <w:b/>
          <w:bCs/>
          <w:color w:val="000000"/>
          <w:sz w:val="24"/>
          <w:szCs w:val="24"/>
          <w:highlight w:val="none"/>
        </w:rPr>
      </w:r>
      <w:r/>
    </w:p>
    <w:p>
      <w:pPr>
        <w:pStyle w:val="801"/>
        <w:contextualSpacing/>
        <w:ind w:firstLine="480"/>
        <w:jc w:val="both"/>
        <w:keepLines w:val="0"/>
        <w:keepNext w:val="0"/>
        <w:pageBreakBefore w:val="0"/>
        <w:widowControl w:val="off"/>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评标委员会对满足招标文件实质性要求的投标文件，按照本章规定的评标标准进行打分，并按各投标人得分由高到低顺序排列，确定3家中标候选人。若得分相同，按报价由低到高顺序排列；得分且报价相同，按技术指标优劣顺序排列。</w:t>
      </w:r>
      <w:r>
        <w:rPr>
          <w:rFonts w:hint="eastAsia" w:ascii="宋体" w:hAnsi="宋体" w:eastAsia="宋体" w:cs="宋体"/>
          <w:b/>
          <w:color w:val="000000"/>
          <w:sz w:val="24"/>
          <w:szCs w:val="24"/>
          <w:highlight w:val="none"/>
        </w:rPr>
      </w:r>
      <w:r/>
    </w:p>
    <w:p>
      <w:pPr>
        <w:pStyle w:val="857"/>
        <w:contextualSpacing/>
        <w:ind w:left="0" w:firstLine="0"/>
        <w:jc w:val="both"/>
        <w:keepLines w:val="0"/>
        <w:keepNext w:val="0"/>
        <w:pageBreakBefore w:val="0"/>
        <w:spacing w:before="0" w:after="0"/>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2、政府采购政策功能落实</w:t>
      </w:r>
      <w:r>
        <w:rPr>
          <w:rFonts w:hint="eastAsia" w:ascii="宋体" w:hAnsi="宋体" w:eastAsia="宋体" w:cs="宋体"/>
          <w:b/>
          <w:color w:val="000000"/>
          <w:sz w:val="24"/>
          <w:szCs w:val="24"/>
          <w:highlight w:val="none"/>
        </w:rPr>
      </w:r>
      <w:r/>
    </w:p>
    <w:p>
      <w:pPr>
        <w:pStyle w:val="857"/>
        <w:contextualSpacing/>
        <w:ind w:firstLine="482"/>
        <w:jc w:val="both"/>
        <w:keepLines w:val="0"/>
        <w:keepNext w:val="0"/>
        <w:pageBreakBefore w:val="0"/>
        <w:spacing w:before="0" w:after="0"/>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2.1小微型企业价格扣除</w:t>
      </w:r>
      <w:r>
        <w:rPr>
          <w:rFonts w:hint="eastAsia" w:ascii="宋体" w:hAnsi="宋体" w:eastAsia="宋体" w:cs="宋体"/>
          <w:b/>
          <w:bCs/>
          <w:color w:val="000000"/>
          <w:sz w:val="24"/>
          <w:szCs w:val="24"/>
          <w:highlight w:val="none"/>
        </w:rPr>
      </w:r>
      <w:r/>
    </w:p>
    <w:p>
      <w:pPr>
        <w:pStyle w:val="857"/>
        <w:contextualSpacing/>
        <w:ind w:firstLine="480"/>
        <w:jc w:val="both"/>
        <w:keepLines w:val="0"/>
        <w:keepNext w:val="0"/>
        <w:pageBreakBefore w:val="0"/>
        <w:spacing w:before="0" w:after="0"/>
        <w:widowControl w:val="off"/>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 xml:space="preserve">⑴根据《政府采购促进中小企业发展管理办法》（财库〔2020〕46号）及（财库〔2022〕19号调整）规定，投标人参与评标的价格，用扣除后的价格参加评标</w:t>
      </w:r>
      <w:r>
        <w:rPr>
          <w:rFonts w:hint="eastAsia" w:ascii="宋体" w:hAnsi="宋体" w:eastAsia="宋体" w:cs="宋体"/>
          <w:b w:val="0"/>
          <w:bCs w:val="0"/>
          <w:color w:val="000000"/>
          <w:sz w:val="24"/>
          <w:szCs w:val="24"/>
          <w:highlight w:val="none"/>
        </w:rPr>
        <w:t xml:space="preserve">。</w:t>
      </w:r>
      <w:r>
        <w:rPr>
          <w:rFonts w:hint="eastAsia" w:ascii="宋体" w:hAnsi="宋体" w:eastAsia="宋体" w:cs="宋体"/>
          <w:b/>
          <w:bCs/>
          <w:color w:val="000000"/>
          <w:sz w:val="24"/>
          <w:szCs w:val="24"/>
          <w:highlight w:val="none"/>
        </w:rPr>
        <w:t xml:space="preserve">本项目对小型和微型企业给予3%的扣除价格，用扣除后的价格参与评标。</w:t>
      </w:r>
      <w:r>
        <w:rPr>
          <w:rFonts w:hint="eastAsia" w:ascii="宋体" w:hAnsi="宋体" w:eastAsia="宋体" w:cs="宋体"/>
          <w:b/>
          <w:bCs/>
          <w:color w:val="000000"/>
          <w:sz w:val="24"/>
          <w:szCs w:val="24"/>
          <w:highlight w:val="none"/>
        </w:rPr>
      </w:r>
      <w:r/>
    </w:p>
    <w:p>
      <w:pPr>
        <w:pStyle w:val="857"/>
        <w:contextualSpacing/>
        <w:ind w:firstLine="480"/>
        <w:jc w:val="both"/>
        <w:keepLines w:val="0"/>
        <w:keepNext w:val="0"/>
        <w:pageBreakBefore w:val="0"/>
        <w:spacing w:before="0" w:after="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⑵投标人需按照招标文件的要求提供相应的《中小企业声明函》。</w:t>
      </w:r>
      <w:r>
        <w:rPr>
          <w:rFonts w:hint="eastAsia" w:ascii="宋体" w:hAnsi="宋体" w:eastAsia="宋体" w:cs="宋体"/>
          <w:color w:val="000000"/>
          <w:sz w:val="24"/>
          <w:szCs w:val="24"/>
          <w:highlight w:val="none"/>
        </w:rPr>
      </w:r>
      <w:r/>
    </w:p>
    <w:p>
      <w:pPr>
        <w:pStyle w:val="857"/>
        <w:contextualSpacing/>
        <w:ind w:firstLine="482"/>
        <w:jc w:val="both"/>
        <w:keepLines w:val="0"/>
        <w:keepNext w:val="0"/>
        <w:pageBreakBefore w:val="0"/>
        <w:spacing w:before="0" w:after="0"/>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2.2残疾人福利单位价格扣除</w:t>
      </w:r>
      <w:r>
        <w:rPr>
          <w:rFonts w:hint="eastAsia" w:ascii="宋体" w:hAnsi="宋体" w:eastAsia="宋体" w:cs="宋体"/>
          <w:b/>
          <w:bCs/>
          <w:color w:val="000000"/>
          <w:sz w:val="24"/>
          <w:szCs w:val="24"/>
          <w:highlight w:val="none"/>
        </w:rPr>
      </w:r>
      <w:r/>
    </w:p>
    <w:p>
      <w:pPr>
        <w:pStyle w:val="857"/>
        <w:contextualSpacing/>
        <w:ind w:firstLine="480"/>
        <w:jc w:val="both"/>
        <w:keepLines w:val="0"/>
        <w:keepNext w:val="0"/>
        <w:pageBreakBefore w:val="0"/>
        <w:spacing w:before="0" w:after="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⑴本项目对残疾人福利性单位视同小型、微型企业，给予3%的价格扣除，用扣除后的价格参与评标。</w:t>
      </w:r>
      <w:r>
        <w:rPr>
          <w:rFonts w:hint="eastAsia" w:ascii="宋体" w:hAnsi="宋体" w:eastAsia="宋体" w:cs="宋体"/>
          <w:color w:val="000000"/>
          <w:sz w:val="24"/>
          <w:szCs w:val="24"/>
          <w:highlight w:val="none"/>
        </w:rPr>
      </w:r>
      <w:r/>
    </w:p>
    <w:p>
      <w:pPr>
        <w:pStyle w:val="857"/>
        <w:contextualSpacing/>
        <w:ind w:firstLine="480"/>
        <w:jc w:val="both"/>
        <w:keepLines w:val="0"/>
        <w:keepNext w:val="0"/>
        <w:pageBreakBefore w:val="0"/>
        <w:spacing w:before="0" w:after="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⑵残疾人福利单位需按照招标文件的要求提供《残疾人福利性单位声明函》。</w:t>
      </w:r>
      <w:r>
        <w:rPr>
          <w:rFonts w:hint="eastAsia" w:ascii="宋体" w:hAnsi="宋体" w:eastAsia="宋体" w:cs="宋体"/>
          <w:color w:val="000000"/>
          <w:sz w:val="24"/>
          <w:szCs w:val="24"/>
          <w:highlight w:val="none"/>
        </w:rPr>
      </w:r>
      <w:r/>
    </w:p>
    <w:p>
      <w:pPr>
        <w:pStyle w:val="857"/>
        <w:contextualSpacing/>
        <w:ind w:firstLine="480"/>
        <w:jc w:val="both"/>
        <w:keepLines w:val="0"/>
        <w:keepNext w:val="0"/>
        <w:pageBreakBefore w:val="0"/>
        <w:spacing w:before="0" w:after="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⑶残疾人福利单位标准请参照《关于促进残疾人就业政府采购政策的通知》（财库〔2017〕141号）。</w:t>
      </w:r>
      <w:r>
        <w:rPr>
          <w:rFonts w:hint="eastAsia" w:ascii="宋体" w:hAnsi="宋体" w:eastAsia="宋体" w:cs="宋体"/>
          <w:color w:val="000000"/>
          <w:sz w:val="24"/>
          <w:szCs w:val="24"/>
          <w:highlight w:val="none"/>
        </w:rPr>
      </w:r>
      <w:r/>
    </w:p>
    <w:p>
      <w:pPr>
        <w:pStyle w:val="857"/>
        <w:contextualSpacing/>
        <w:ind w:left="0" w:firstLine="0"/>
        <w:jc w:val="both"/>
        <w:keepLines w:val="0"/>
        <w:keepNext w:val="0"/>
        <w:pageBreakBefore w:val="0"/>
        <w:spacing w:before="0" w:after="0"/>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3、监狱和戒毒企业价格扣除</w:t>
      </w:r>
      <w:r>
        <w:rPr>
          <w:rFonts w:hint="eastAsia" w:ascii="宋体" w:hAnsi="宋体" w:eastAsia="宋体" w:cs="宋体"/>
          <w:b/>
          <w:bCs/>
          <w:color w:val="000000"/>
          <w:sz w:val="24"/>
          <w:szCs w:val="24"/>
          <w:highlight w:val="none"/>
        </w:rPr>
      </w:r>
      <w:r/>
    </w:p>
    <w:p>
      <w:pPr>
        <w:pStyle w:val="857"/>
        <w:contextualSpacing/>
        <w:ind w:firstLine="480"/>
        <w:jc w:val="both"/>
        <w:keepLines w:val="0"/>
        <w:keepNext w:val="0"/>
        <w:pageBreakBefore w:val="0"/>
        <w:spacing w:before="0" w:after="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⑴本项目对监狱和戒毒企业（简称监狱企业）视同小型、微型企业，给予3%的价格扣除，用扣除后的价格参与评标。</w:t>
      </w:r>
      <w:r>
        <w:rPr>
          <w:rFonts w:hint="eastAsia" w:ascii="宋体" w:hAnsi="宋体" w:eastAsia="宋体" w:cs="宋体"/>
          <w:color w:val="000000"/>
          <w:sz w:val="24"/>
          <w:szCs w:val="24"/>
          <w:highlight w:val="none"/>
        </w:rPr>
      </w:r>
      <w:r/>
    </w:p>
    <w:p>
      <w:pPr>
        <w:pStyle w:val="857"/>
        <w:contextualSpacing/>
        <w:ind w:firstLine="480"/>
        <w:jc w:val="both"/>
        <w:keepLines w:val="0"/>
        <w:keepNext w:val="0"/>
        <w:pageBreakBefore w:val="0"/>
        <w:spacing w:before="0" w:after="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⑵监狱企业参加政府采购活动时，需提供由省级以上监狱管理局、戒毒管理局（含新疆生产建设兵团）出具的属于监狱企业的证明文件。投标人如不提供上述证明文件，价格将不作相应扣除。</w:t>
      </w:r>
      <w:r>
        <w:rPr>
          <w:rFonts w:hint="eastAsia" w:ascii="宋体" w:hAnsi="宋体" w:eastAsia="宋体" w:cs="宋体"/>
          <w:color w:val="000000"/>
          <w:sz w:val="24"/>
          <w:szCs w:val="24"/>
          <w:highlight w:val="none"/>
        </w:rPr>
      </w:r>
      <w:r/>
    </w:p>
    <w:p>
      <w:pPr>
        <w:pStyle w:val="857"/>
        <w:contextualSpacing/>
        <w:ind w:firstLine="480"/>
        <w:jc w:val="both"/>
        <w:keepLines w:val="0"/>
        <w:keepNext w:val="0"/>
        <w:pageBreakBefore w:val="0"/>
        <w:spacing w:before="0" w:after="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⑶监狱企业标准请参照《关于政府采购支持监狱企业发展有关问题的通知》（财库[2014]68号）。</w:t>
      </w:r>
      <w:r>
        <w:rPr>
          <w:rFonts w:hint="eastAsia" w:ascii="宋体" w:hAnsi="宋体" w:eastAsia="宋体" w:cs="宋体"/>
          <w:color w:val="000000"/>
          <w:sz w:val="24"/>
          <w:szCs w:val="24"/>
          <w:highlight w:val="none"/>
        </w:rPr>
      </w:r>
      <w:r/>
    </w:p>
    <w:p>
      <w:pPr>
        <w:pStyle w:val="857"/>
        <w:contextualSpacing/>
        <w:ind w:firstLine="482"/>
        <w:jc w:val="both"/>
        <w:keepLines w:val="0"/>
        <w:keepNext w:val="0"/>
        <w:pageBreakBefore w:val="0"/>
        <w:spacing w:before="0" w:after="0"/>
        <w:widowControl w:val="off"/>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注：监狱企业、残疾人福利性单位视同小微企业；监狱企业、残疾人福利性单位属于小型、微型企业的，不重复享受政策。</w:t>
      </w:r>
      <w:r>
        <w:rPr>
          <w:rFonts w:hint="eastAsia" w:ascii="宋体" w:hAnsi="宋体" w:eastAsia="宋体" w:cs="宋体"/>
          <w:color w:val="000000"/>
          <w:sz w:val="24"/>
          <w:szCs w:val="24"/>
          <w:highlight w:val="none"/>
        </w:rPr>
      </w:r>
      <w:r/>
    </w:p>
    <w:p>
      <w:pPr>
        <w:pStyle w:val="858"/>
        <w:ind w:firstLine="0"/>
        <w:keepLines w:val="0"/>
        <w:keepNext w:val="0"/>
        <w:pageBreakBefore w:val="0"/>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858"/>
        <w:ind w:firstLine="0"/>
        <w:keepLines w:val="0"/>
        <w:keepNext w:val="0"/>
        <w:pageBreakBefore w:val="0"/>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二、评标标准</w:t>
      </w:r>
      <w:r>
        <w:rPr>
          <w:rFonts w:hint="eastAsia" w:ascii="宋体" w:hAnsi="宋体" w:eastAsia="宋体" w:cs="宋体"/>
          <w:b/>
          <w:bCs/>
          <w:color w:val="000000"/>
          <w:sz w:val="24"/>
          <w:szCs w:val="24"/>
          <w:highlight w:val="none"/>
        </w:rPr>
      </w:r>
      <w:r/>
    </w:p>
    <w:tbl>
      <w:tblPr>
        <w:tblW w:w="5057"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76"/>
        <w:gridCol w:w="1122"/>
        <w:gridCol w:w="7196"/>
      </w:tblGrid>
      <w:tr>
        <w:trPr>
          <w:trHeight w:val="454"/>
        </w:trPr>
        <w:tc>
          <w:tcPr>
            <w:tcW w:w="572" w:type="dxa"/>
            <w:vAlign w:val="center"/>
            <w:textDirection w:val="lrTb"/>
            <w:noWrap w:val="false"/>
          </w:tcPr>
          <w:p>
            <w:pPr>
              <w:pStyle w:val="801"/>
              <w:jc w:val="center"/>
              <w:keepLines w:val="0"/>
              <w:keepNext w:val="0"/>
              <w:pageBreakBefore w:val="0"/>
              <w:spacing w:line="264"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评分项</w:t>
            </w:r>
            <w:r>
              <w:rPr>
                <w:rFonts w:hint="eastAsia" w:ascii="宋体" w:hAnsi="宋体" w:eastAsia="宋体" w:cs="宋体"/>
                <w:color w:val="000000"/>
                <w:sz w:val="21"/>
                <w:szCs w:val="21"/>
                <w:highlight w:val="none"/>
              </w:rPr>
            </w:r>
            <w:r/>
          </w:p>
        </w:tc>
        <w:tc>
          <w:tcPr>
            <w:gridSpan w:val="2"/>
            <w:tcW w:w="8318" w:type="dxa"/>
            <w:vAlign w:val="center"/>
            <w:textDirection w:val="lrTb"/>
            <w:noWrap w:val="false"/>
          </w:tcPr>
          <w:p>
            <w:pPr>
              <w:pStyle w:val="801"/>
              <w:jc w:val="center"/>
              <w:keepLines w:val="0"/>
              <w:keepNext w:val="0"/>
              <w:pageBreakBefore w:val="0"/>
              <w:spacing w:line="264"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评 分 内 容</w:t>
            </w:r>
            <w:r>
              <w:rPr>
                <w:rFonts w:hint="eastAsia" w:ascii="宋体" w:hAnsi="宋体" w:eastAsia="宋体" w:cs="宋体"/>
                <w:color w:val="000000"/>
                <w:sz w:val="21"/>
                <w:szCs w:val="21"/>
                <w:highlight w:val="none"/>
              </w:rPr>
            </w:r>
            <w:r/>
          </w:p>
        </w:tc>
      </w:tr>
      <w:tr>
        <w:trPr>
          <w:trHeight w:val="701"/>
        </w:trPr>
        <w:tc>
          <w:tcPr>
            <w:tcW w:w="572" w:type="dxa"/>
            <w:vAlign w:val="center"/>
            <w:textDirection w:val="lrTb"/>
            <w:noWrap w:val="false"/>
          </w:tcPr>
          <w:p>
            <w:pPr>
              <w:pStyle w:val="801"/>
              <w:jc w:val="center"/>
              <w:keepLines w:val="0"/>
              <w:keepNext w:val="0"/>
              <w:pageBreakBefore w:val="0"/>
              <w:spacing w:line="264"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价格分</w:t>
            </w:r>
            <w:r>
              <w:rPr>
                <w:rFonts w:hint="eastAsia" w:ascii="宋体" w:hAnsi="宋体" w:eastAsia="宋体" w:cs="宋体"/>
                <w:color w:val="000000"/>
                <w:sz w:val="21"/>
                <w:szCs w:val="21"/>
                <w:highlight w:val="none"/>
              </w:rPr>
            </w:r>
            <w:r/>
          </w:p>
          <w:p>
            <w:pPr>
              <w:pStyle w:val="801"/>
              <w:jc w:val="center"/>
              <w:keepLines w:val="0"/>
              <w:keepNext w:val="0"/>
              <w:pageBreakBefore w:val="0"/>
              <w:spacing w:line="264"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（30分）</w:t>
            </w:r>
            <w:r>
              <w:rPr>
                <w:rFonts w:hint="eastAsia" w:ascii="宋体" w:hAnsi="宋体" w:eastAsia="宋体" w:cs="宋体"/>
                <w:color w:val="000000"/>
                <w:sz w:val="21"/>
                <w:szCs w:val="21"/>
                <w:highlight w:val="none"/>
              </w:rPr>
            </w:r>
            <w:r/>
          </w:p>
        </w:tc>
        <w:tc>
          <w:tcPr>
            <w:gridSpan w:val="2"/>
            <w:tcW w:w="8318" w:type="dxa"/>
            <w:vAlign w:val="center"/>
            <w:textDirection w:val="lrTb"/>
            <w:noWrap w:val="false"/>
          </w:tcPr>
          <w:p>
            <w:pPr>
              <w:pStyle w:val="801"/>
              <w:keepLines w:val="0"/>
              <w:keepNext w:val="0"/>
              <w:pageBreakBefore w:val="0"/>
              <w:spacing w:line="264"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满足招标文件要求且投标价格最低的投标价为评标基准价，其价格分为满分。其他投标人的价格统一按照下列公式计算：投标得分＝（评标基准价/投标报价）×30。</w:t>
            </w:r>
            <w:r>
              <w:rPr>
                <w:rFonts w:hint="eastAsia" w:ascii="宋体" w:hAnsi="宋体" w:eastAsia="宋体" w:cs="宋体"/>
                <w:color w:val="000000"/>
                <w:sz w:val="21"/>
                <w:szCs w:val="21"/>
                <w:highlight w:val="none"/>
              </w:rPr>
            </w:r>
            <w:r/>
          </w:p>
        </w:tc>
      </w:tr>
      <w:tr>
        <w:trPr>
          <w:trHeight w:val="3874"/>
        </w:trPr>
        <w:tc>
          <w:tcPr>
            <w:tcW w:w="572" w:type="dxa"/>
            <w:vAlign w:val="center"/>
            <w:vMerge w:val="restart"/>
            <w:textDirection w:val="lrTb"/>
            <w:noWrap w:val="false"/>
          </w:tcPr>
          <w:p>
            <w:pPr>
              <w:pStyle w:val="801"/>
              <w:jc w:val="center"/>
              <w:keepLines w:val="0"/>
              <w:keepNext w:val="0"/>
              <w:pageBreakBefore w:val="0"/>
              <w:spacing w:line="264"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商务部分</w:t>
            </w:r>
            <w:r>
              <w:rPr>
                <w:rFonts w:hint="eastAsia" w:ascii="宋体" w:hAnsi="宋体" w:eastAsia="宋体" w:cs="宋体"/>
                <w:b w:val="0"/>
                <w:bCs w:val="0"/>
                <w:color w:val="000000"/>
                <w:sz w:val="21"/>
                <w:szCs w:val="21"/>
                <w:highlight w:val="none"/>
              </w:rPr>
            </w:r>
            <w:r/>
          </w:p>
          <w:p>
            <w:pPr>
              <w:pStyle w:val="801"/>
              <w:jc w:val="center"/>
              <w:keepLines w:val="0"/>
              <w:keepNext w:val="0"/>
              <w:pageBreakBefore w:val="0"/>
              <w:spacing w:line="264"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val="0"/>
                <w:bCs w:val="0"/>
                <w:color w:val="000000"/>
                <w:sz w:val="21"/>
                <w:szCs w:val="21"/>
                <w:highlight w:val="none"/>
              </w:rPr>
              <w:t xml:space="preserve">（32分）</w:t>
            </w:r>
            <w:r>
              <w:rPr>
                <w:rFonts w:hint="eastAsia" w:ascii="宋体" w:hAnsi="宋体" w:eastAsia="宋体" w:cs="宋体"/>
                <w:b/>
                <w:bCs/>
                <w:color w:val="000000"/>
                <w:sz w:val="21"/>
                <w:szCs w:val="21"/>
                <w:highlight w:val="none"/>
              </w:rPr>
            </w:r>
            <w:r/>
          </w:p>
        </w:tc>
        <w:tc>
          <w:tcPr>
            <w:tcW w:w="596" w:type="dxa"/>
            <w:vAlign w:val="center"/>
            <w:textDirection w:val="lrTb"/>
            <w:noWrap w:val="false"/>
          </w:tcPr>
          <w:p>
            <w:pPr>
              <w:pStyle w:val="801"/>
              <w:jc w:val="center"/>
              <w:keepLines w:val="0"/>
              <w:keepNext w:val="0"/>
              <w:pageBreakBefore w:val="0"/>
              <w:spacing w:line="264"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主要人员</w:t>
            </w:r>
            <w:r>
              <w:rPr>
                <w:rFonts w:hint="eastAsia" w:ascii="宋体" w:hAnsi="宋体" w:eastAsia="宋体" w:cs="宋体"/>
                <w:color w:val="000000"/>
                <w:sz w:val="21"/>
                <w:szCs w:val="21"/>
                <w:highlight w:val="none"/>
              </w:rPr>
            </w:r>
            <w:r/>
          </w:p>
          <w:p>
            <w:pPr>
              <w:pStyle w:val="801"/>
              <w:jc w:val="center"/>
              <w:keepLines w:val="0"/>
              <w:keepNext w:val="0"/>
              <w:pageBreakBefore w:val="0"/>
              <w:spacing w:line="264"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tc>
        <w:tc>
          <w:tcPr>
            <w:tcW w:w="3830" w:type="dxa"/>
            <w:vAlign w:val="center"/>
            <w:textDirection w:val="lrTb"/>
            <w:noWrap w:val="false"/>
          </w:tcPr>
          <w:p>
            <w:pPr>
              <w:pStyle w:val="801"/>
              <w:keepLines w:val="0"/>
              <w:keepNext w:val="0"/>
              <w:pageBreakBefore w:val="0"/>
              <w:spacing w:line="264"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（1）项目经理具有高级工程师及以上技术职称得</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分。</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rPr>
              <w:t xml:space="preserve">提供人员相关有效的职称证书扫描件加盖CA电子签章</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color w:val="000000"/>
                <w:sz w:val="21"/>
                <w:szCs w:val="21"/>
                <w:highlight w:val="none"/>
              </w:rPr>
            </w:r>
            <w:r/>
          </w:p>
          <w:p>
            <w:pPr>
              <w:pStyle w:val="801"/>
              <w:keepLines w:val="0"/>
              <w:keepNext w:val="0"/>
              <w:pageBreakBefore w:val="0"/>
              <w:spacing w:line="264"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（2）项目经理自2021年1月1日以来担任过水运工程（指码头水工主体、船闸土建、靠船设施、航道护岸）施工项目的项目经理或技术负责人，每提供一个得</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分，本项最多得</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分。</w:t>
            </w:r>
            <w:r>
              <w:rPr>
                <w:rFonts w:hint="eastAsia" w:ascii="宋体" w:hAnsi="宋体" w:eastAsia="宋体" w:cs="宋体"/>
                <w:b/>
                <w:bCs/>
                <w:color w:val="000000"/>
                <w:sz w:val="21"/>
                <w:szCs w:val="21"/>
                <w:highlight w:val="none"/>
                <w:lang w:eastAsia="zh-CN"/>
              </w:rPr>
              <w:t xml:space="preserve">（业绩须同时提供合同、交/竣工验收证明等业绩证明材料</w:t>
            </w:r>
            <w:r>
              <w:rPr>
                <w:rFonts w:hint="eastAsia" w:ascii="宋体" w:hAnsi="宋体" w:eastAsia="宋体" w:cs="宋体"/>
                <w:b/>
                <w:bCs/>
                <w:color w:val="000000"/>
                <w:sz w:val="21"/>
                <w:szCs w:val="21"/>
                <w:highlight w:val="none"/>
              </w:rPr>
              <w:t xml:space="preserve">扫描件加盖CA电子签章</w:t>
            </w:r>
            <w:r>
              <w:rPr>
                <w:rFonts w:hint="eastAsia" w:ascii="宋体" w:hAnsi="宋体" w:eastAsia="宋体" w:cs="宋体"/>
                <w:b/>
                <w:bCs/>
                <w:color w:val="000000"/>
                <w:sz w:val="21"/>
                <w:szCs w:val="21"/>
                <w:highlight w:val="none"/>
                <w:lang w:eastAsia="zh-CN"/>
              </w:rPr>
              <w:t xml:space="preserve">，业绩证明资料须能体现人员职务信息，若上述资料不能体现相关信息，则需提供发包人出具的任职证明，否则不予认可。时间以交/竣工验收时间为准，未提供不得分，若一份合同同时包含以上工作内容，仅按一个业绩计取加分。）</w:t>
            </w:r>
            <w:r>
              <w:rPr>
                <w:rFonts w:hint="eastAsia" w:ascii="宋体" w:hAnsi="宋体" w:eastAsia="宋体" w:cs="宋体"/>
                <w:color w:val="000000"/>
                <w:sz w:val="21"/>
                <w:szCs w:val="21"/>
                <w:highlight w:val="none"/>
                <w:lang w:eastAsia="zh-CN"/>
              </w:rPr>
            </w:r>
            <w:r/>
          </w:p>
          <w:p>
            <w:pPr>
              <w:pStyle w:val="801"/>
              <w:keepLines w:val="0"/>
              <w:keepNext w:val="0"/>
              <w:pageBreakBefore w:val="0"/>
              <w:spacing w:line="264" w:lineRule="auto"/>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（3）项目总工（</w:t>
            </w:r>
            <w:r>
              <w:rPr>
                <w:rFonts w:hint="eastAsia" w:ascii="宋体" w:hAnsi="宋体" w:eastAsia="宋体" w:cs="宋体"/>
                <w:color w:val="000000"/>
                <w:sz w:val="21"/>
                <w:szCs w:val="21"/>
                <w:highlight w:val="none"/>
              </w:rPr>
              <w:t xml:space="preserve">技术负责人</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自2021年1月1日以来担任过水运工程（指码头水工主体、船闸土建、靠船设施、航道护岸）施工项目</w:t>
            </w:r>
            <w:r>
              <w:rPr>
                <w:rFonts w:hint="eastAsia" w:ascii="宋体" w:hAnsi="宋体" w:eastAsia="宋体" w:cs="宋体"/>
                <w:color w:val="000000"/>
                <w:sz w:val="21"/>
                <w:szCs w:val="21"/>
                <w:highlight w:val="none"/>
                <w:lang w:val="en-US" w:eastAsia="zh-CN"/>
              </w:rPr>
              <w:t xml:space="preserve">的项目总工（</w:t>
            </w:r>
            <w:r>
              <w:rPr>
                <w:rFonts w:hint="eastAsia" w:ascii="宋体" w:hAnsi="宋体" w:eastAsia="宋体" w:cs="宋体"/>
                <w:color w:val="000000"/>
                <w:sz w:val="21"/>
                <w:szCs w:val="21"/>
                <w:highlight w:val="none"/>
              </w:rPr>
              <w:t xml:space="preserve">技术负责人</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，每提供一个得</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分，本项最多得</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b/>
                <w:bCs/>
                <w:color w:val="000000"/>
                <w:sz w:val="21"/>
                <w:szCs w:val="21"/>
                <w:highlight w:val="none"/>
                <w:lang w:eastAsia="zh-CN"/>
              </w:rPr>
              <w:t xml:space="preserve">（人员业绩须同时提供合同、交/竣工验收证明等业绩证明材料</w:t>
            </w:r>
            <w:r>
              <w:rPr>
                <w:rFonts w:hint="eastAsia" w:ascii="宋体" w:hAnsi="宋体" w:eastAsia="宋体" w:cs="宋体"/>
                <w:b/>
                <w:bCs/>
                <w:color w:val="000000"/>
                <w:sz w:val="21"/>
                <w:szCs w:val="21"/>
                <w:highlight w:val="none"/>
              </w:rPr>
              <w:t xml:space="preserve">扫描件加盖CA电子签章</w:t>
            </w:r>
            <w:r>
              <w:rPr>
                <w:rFonts w:hint="eastAsia" w:ascii="宋体" w:hAnsi="宋体" w:eastAsia="宋体" w:cs="宋体"/>
                <w:b/>
                <w:bCs/>
                <w:color w:val="000000"/>
                <w:sz w:val="21"/>
                <w:szCs w:val="21"/>
                <w:highlight w:val="none"/>
                <w:lang w:eastAsia="zh-CN"/>
              </w:rPr>
              <w:t xml:space="preserve">，业绩证明资料须能体现人员职务信息，若上述资料不能体现相关信息，则需提供发包人出具的任职证明，否则不予认可。时间以交/竣工验收时间为准，未提供不得分，若一份合同同时包含以上工作内容，仅按一个业绩计取加分。）</w:t>
            </w:r>
            <w:r>
              <w:rPr>
                <w:rFonts w:hint="eastAsia" w:ascii="宋体" w:hAnsi="宋体" w:eastAsia="宋体" w:cs="宋体"/>
                <w:b/>
                <w:bCs/>
                <w:color w:val="000000"/>
                <w:sz w:val="21"/>
                <w:szCs w:val="21"/>
                <w:highlight w:val="none"/>
                <w:lang w:val="en-US" w:eastAsia="zh-CN"/>
              </w:rPr>
            </w:r>
            <w:r/>
          </w:p>
          <w:p>
            <w:pPr>
              <w:pStyle w:val="801"/>
              <w:keepLines w:val="0"/>
              <w:keepNext w:val="0"/>
              <w:pageBreakBefore w:val="0"/>
              <w:spacing w:line="264" w:lineRule="auto"/>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注：①项目经理</w:t>
            </w:r>
            <w:r>
              <w:rPr>
                <w:rFonts w:hint="eastAsia" w:ascii="宋体" w:hAnsi="宋体" w:eastAsia="宋体" w:cs="宋体"/>
                <w:b/>
                <w:color w:val="000000"/>
                <w:sz w:val="21"/>
                <w:szCs w:val="21"/>
                <w:highlight w:val="none"/>
                <w:lang w:eastAsia="zh-CN"/>
              </w:rPr>
              <w:t xml:space="preserve">、</w:t>
            </w:r>
            <w:r>
              <w:rPr>
                <w:rFonts w:hint="eastAsia" w:ascii="宋体" w:hAnsi="宋体" w:eastAsia="宋体" w:cs="宋体"/>
                <w:b/>
                <w:color w:val="000000"/>
                <w:sz w:val="21"/>
                <w:szCs w:val="21"/>
                <w:highlight w:val="none"/>
                <w:lang w:val="en-US" w:eastAsia="zh-CN"/>
              </w:rPr>
              <w:t xml:space="preserve">项目总工（</w:t>
            </w:r>
            <w:r>
              <w:rPr>
                <w:rFonts w:hint="eastAsia" w:ascii="宋体" w:hAnsi="宋体" w:eastAsia="宋体" w:cs="宋体"/>
                <w:b/>
                <w:color w:val="000000"/>
                <w:sz w:val="21"/>
                <w:szCs w:val="21"/>
                <w:highlight w:val="none"/>
              </w:rPr>
              <w:t xml:space="preserve">技术负责人</w:t>
            </w:r>
            <w:r>
              <w:rPr>
                <w:rFonts w:hint="eastAsia" w:ascii="宋体" w:hAnsi="宋体" w:eastAsia="宋体" w:cs="宋体"/>
                <w:b/>
                <w:color w:val="000000"/>
                <w:sz w:val="21"/>
                <w:szCs w:val="21"/>
                <w:highlight w:val="none"/>
                <w:lang w:val="en-US" w:eastAsia="zh-CN"/>
              </w:rPr>
              <w:t xml:space="preserve">）</w:t>
            </w:r>
            <w:r>
              <w:rPr>
                <w:rFonts w:hint="eastAsia" w:ascii="宋体" w:hAnsi="宋体" w:eastAsia="宋体" w:cs="宋体"/>
                <w:b/>
                <w:color w:val="000000"/>
                <w:sz w:val="21"/>
                <w:szCs w:val="21"/>
                <w:highlight w:val="none"/>
              </w:rPr>
              <w:t xml:space="preserve">业</w:t>
            </w:r>
            <w:r>
              <w:rPr>
                <w:rFonts w:hint="eastAsia" w:ascii="宋体" w:hAnsi="宋体" w:eastAsia="宋体" w:cs="宋体"/>
                <w:b/>
                <w:color w:val="000000"/>
                <w:sz w:val="21"/>
                <w:szCs w:val="21"/>
                <w:highlight w:val="none"/>
              </w:rPr>
              <w:t xml:space="preserve">绩与企业业绩可重复加分。</w:t>
            </w:r>
            <w:r>
              <w:rPr>
                <w:rFonts w:hint="eastAsia" w:ascii="宋体" w:hAnsi="宋体" w:eastAsia="宋体" w:cs="宋体"/>
                <w:b/>
                <w:color w:val="000000"/>
                <w:sz w:val="21"/>
                <w:szCs w:val="21"/>
                <w:highlight w:val="none"/>
              </w:rPr>
            </w:r>
            <w:r/>
          </w:p>
          <w:p>
            <w:pPr>
              <w:pStyle w:val="801"/>
              <w:keepLines w:val="0"/>
              <w:keepNext w:val="0"/>
              <w:pageBreakBefore w:val="0"/>
              <w:spacing w:line="264" w:lineRule="auto"/>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*②</w:t>
            </w:r>
            <w:r>
              <w:rPr>
                <w:rFonts w:hint="eastAsia" w:ascii="宋体" w:hAnsi="宋体" w:eastAsia="宋体" w:cs="宋体"/>
                <w:b/>
                <w:color w:val="000000"/>
                <w:sz w:val="21"/>
                <w:szCs w:val="21"/>
                <w:highlight w:val="none"/>
              </w:rPr>
              <w:t xml:space="preserve">项目经理</w:t>
            </w:r>
            <w:r>
              <w:rPr>
                <w:rFonts w:hint="eastAsia" w:ascii="宋体" w:hAnsi="宋体" w:eastAsia="宋体" w:cs="宋体"/>
                <w:b/>
                <w:color w:val="000000"/>
                <w:sz w:val="21"/>
                <w:szCs w:val="21"/>
                <w:highlight w:val="none"/>
                <w:lang w:eastAsia="zh-CN"/>
              </w:rPr>
              <w:t xml:space="preserve">、</w:t>
            </w:r>
            <w:r>
              <w:rPr>
                <w:rFonts w:hint="eastAsia" w:ascii="宋体" w:hAnsi="宋体" w:eastAsia="宋体" w:cs="宋体"/>
                <w:b/>
                <w:color w:val="000000"/>
                <w:sz w:val="21"/>
                <w:szCs w:val="21"/>
                <w:highlight w:val="none"/>
                <w:lang w:val="en-US" w:eastAsia="zh-CN"/>
              </w:rPr>
              <w:t xml:space="preserve">项目总工（</w:t>
            </w:r>
            <w:r>
              <w:rPr>
                <w:rFonts w:hint="eastAsia" w:ascii="宋体" w:hAnsi="宋体" w:eastAsia="宋体" w:cs="宋体"/>
                <w:b/>
                <w:color w:val="000000"/>
                <w:sz w:val="21"/>
                <w:szCs w:val="21"/>
                <w:highlight w:val="none"/>
              </w:rPr>
              <w:t xml:space="preserve">技术负责人</w:t>
            </w:r>
            <w:r>
              <w:rPr>
                <w:rFonts w:hint="eastAsia" w:ascii="宋体" w:hAnsi="宋体" w:eastAsia="宋体" w:cs="宋体"/>
                <w:b/>
                <w:color w:val="000000"/>
                <w:sz w:val="21"/>
                <w:szCs w:val="21"/>
                <w:highlight w:val="none"/>
                <w:lang w:val="en-US" w:eastAsia="zh-CN"/>
              </w:rPr>
              <w:t xml:space="preserve">）</w:t>
            </w:r>
            <w:r>
              <w:rPr>
                <w:rFonts w:hint="eastAsia" w:ascii="宋体" w:hAnsi="宋体" w:eastAsia="宋体" w:cs="宋体"/>
                <w:b/>
                <w:color w:val="000000"/>
                <w:sz w:val="21"/>
                <w:szCs w:val="21"/>
                <w:highlight w:val="none"/>
              </w:rPr>
              <w:t xml:space="preserve">业绩</w:t>
            </w:r>
            <w:r>
              <w:rPr>
                <w:rFonts w:hint="eastAsia" w:ascii="宋体" w:hAnsi="宋体" w:eastAsia="宋体" w:cs="宋体"/>
                <w:b/>
                <w:color w:val="000000"/>
                <w:sz w:val="21"/>
                <w:szCs w:val="21"/>
                <w:highlight w:val="none"/>
              </w:rPr>
              <w:t xml:space="preserve">评审以“主要人员经历表”为准，未在表中填报的业绩不予评审。</w:t>
            </w:r>
            <w:r>
              <w:rPr>
                <w:rFonts w:hint="eastAsia" w:ascii="宋体" w:hAnsi="宋体" w:eastAsia="宋体" w:cs="宋体"/>
                <w:b/>
                <w:color w:val="000000"/>
                <w:sz w:val="21"/>
                <w:szCs w:val="21"/>
                <w:highlight w:val="none"/>
              </w:rPr>
            </w:r>
            <w:r/>
          </w:p>
        </w:tc>
      </w:tr>
      <w:tr>
        <w:trPr>
          <w:trHeight w:val="2207"/>
        </w:trPr>
        <w:tc>
          <w:tcPr>
            <w:tcW w:w="572" w:type="dxa"/>
            <w:vAlign w:val="center"/>
            <w:vMerge w:val="continue"/>
            <w:textDirection w:val="lrTb"/>
            <w:noWrap w:val="false"/>
          </w:tcPr>
          <w:p>
            <w:pPr>
              <w:pStyle w:val="801"/>
              <w:jc w:val="center"/>
              <w:keepLines w:val="0"/>
              <w:keepNext w:val="0"/>
              <w:pageBreakBefore w:val="0"/>
              <w:spacing w:line="264" w:lineRule="auto"/>
              <w:shd w:val="clear" w:color="auto" w:fill="ffffff"/>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W w:w="596" w:type="dxa"/>
            <w:vAlign w:val="center"/>
            <w:textDirection w:val="lrTb"/>
            <w:noWrap w:val="false"/>
          </w:tcPr>
          <w:p>
            <w:pPr>
              <w:pStyle w:val="801"/>
              <w:jc w:val="center"/>
              <w:keepLines w:val="0"/>
              <w:keepNext w:val="0"/>
              <w:pageBreakBefore w:val="0"/>
              <w:spacing w:line="264"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企业业绩</w:t>
            </w:r>
            <w:r>
              <w:rPr>
                <w:rFonts w:hint="eastAsia" w:ascii="宋体" w:hAnsi="宋体" w:eastAsia="宋体" w:cs="宋体"/>
                <w:color w:val="000000"/>
                <w:sz w:val="21"/>
                <w:szCs w:val="21"/>
                <w:highlight w:val="none"/>
              </w:rPr>
            </w:r>
            <w:r/>
          </w:p>
          <w:p>
            <w:pPr>
              <w:pStyle w:val="801"/>
              <w:jc w:val="center"/>
              <w:keepLines w:val="0"/>
              <w:keepNext w:val="0"/>
              <w:pageBreakBefore w:val="0"/>
              <w:spacing w:line="264"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18</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tc>
        <w:tc>
          <w:tcPr>
            <w:tcW w:w="3830" w:type="dxa"/>
            <w:vAlign w:val="center"/>
            <w:textDirection w:val="lrTb"/>
            <w:noWrap w:val="false"/>
          </w:tcPr>
          <w:p>
            <w:pPr>
              <w:pStyle w:val="801"/>
              <w:keepLines w:val="0"/>
              <w:keepNext w:val="0"/>
              <w:pageBreakBefore w:val="0"/>
              <w:spacing w:line="264"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投标人自2021年1月1日以来完成过水运工程（指码头水工主体、船闸土建、靠船设施、航道护岸）施工项目的，每提供一个得</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分，本项最多得</w:t>
            </w:r>
            <w:r>
              <w:rPr>
                <w:rFonts w:hint="eastAsia" w:ascii="宋体" w:hAnsi="宋体" w:eastAsia="宋体" w:cs="宋体"/>
                <w:color w:val="000000"/>
                <w:sz w:val="21"/>
                <w:szCs w:val="21"/>
                <w:highlight w:val="none"/>
                <w:lang w:val="en-US" w:eastAsia="zh-CN"/>
              </w:rPr>
              <w:t xml:space="preserve">18</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801"/>
              <w:keepLines w:val="0"/>
              <w:keepNext w:val="0"/>
              <w:pageBreakBefore w:val="0"/>
              <w:spacing w:line="264" w:lineRule="auto"/>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（须同时提供合同</w:t>
            </w:r>
            <w:r>
              <w:rPr>
                <w:rFonts w:hint="eastAsia" w:ascii="宋体" w:hAnsi="宋体" w:eastAsia="宋体" w:cs="宋体"/>
                <w:b/>
                <w:color w:val="000000"/>
                <w:sz w:val="21"/>
                <w:szCs w:val="21"/>
                <w:highlight w:val="none"/>
                <w:lang w:eastAsia="zh-CN"/>
              </w:rPr>
              <w:t xml:space="preserve">，</w:t>
            </w:r>
            <w:r>
              <w:rPr>
                <w:rFonts w:hint="eastAsia" w:ascii="宋体" w:hAnsi="宋体" w:eastAsia="宋体" w:cs="宋体"/>
                <w:b/>
                <w:bCs/>
                <w:color w:val="000000"/>
                <w:sz w:val="21"/>
                <w:szCs w:val="21"/>
                <w:highlight w:val="none"/>
              </w:rPr>
              <w:t xml:space="preserve">交/竣工</w:t>
            </w:r>
            <w:r>
              <w:rPr>
                <w:rFonts w:hint="eastAsia" w:ascii="宋体" w:hAnsi="宋体" w:eastAsia="宋体" w:cs="宋体"/>
                <w:b/>
                <w:color w:val="000000"/>
                <w:sz w:val="21"/>
                <w:szCs w:val="21"/>
                <w:highlight w:val="none"/>
              </w:rPr>
              <w:t xml:space="preserve">验收证明</w:t>
            </w:r>
            <w:r>
              <w:rPr>
                <w:rFonts w:hint="eastAsia" w:ascii="宋体" w:hAnsi="宋体" w:eastAsia="宋体" w:cs="宋体"/>
                <w:b/>
                <w:color w:val="000000"/>
                <w:sz w:val="21"/>
                <w:szCs w:val="21"/>
                <w:highlight w:val="none"/>
                <w:lang w:val="en-US" w:eastAsia="zh-CN"/>
              </w:rPr>
              <w:t xml:space="preserve">或建设单位</w:t>
            </w:r>
            <w:r>
              <w:rPr>
                <w:rFonts w:hint="eastAsia" w:ascii="宋体" w:hAnsi="宋体" w:eastAsia="宋体" w:cs="宋体"/>
                <w:b/>
                <w:color w:val="000000"/>
                <w:sz w:val="21"/>
                <w:szCs w:val="21"/>
                <w:highlight w:val="none"/>
              </w:rPr>
              <w:t xml:space="preserve">业绩证明材料</w:t>
            </w:r>
            <w:r>
              <w:rPr>
                <w:rFonts w:hint="eastAsia" w:ascii="宋体" w:hAnsi="宋体" w:eastAsia="宋体" w:cs="宋体"/>
                <w:b/>
                <w:bCs/>
                <w:color w:val="000000"/>
                <w:sz w:val="21"/>
                <w:szCs w:val="21"/>
                <w:highlight w:val="none"/>
              </w:rPr>
              <w:t xml:space="preserve">扫描件加盖CA电子签章</w:t>
            </w:r>
            <w:r>
              <w:rPr>
                <w:rFonts w:hint="eastAsia" w:ascii="宋体" w:hAnsi="宋体" w:eastAsia="宋体" w:cs="宋体"/>
                <w:b/>
                <w:color w:val="000000"/>
                <w:sz w:val="21"/>
                <w:szCs w:val="21"/>
                <w:highlight w:val="none"/>
              </w:rPr>
              <w:t xml:space="preserve">，时间以</w:t>
            </w:r>
            <w:r>
              <w:rPr>
                <w:rFonts w:hint="eastAsia" w:ascii="宋体" w:hAnsi="宋体" w:eastAsia="宋体" w:cs="宋体"/>
                <w:b/>
                <w:bCs/>
                <w:color w:val="000000"/>
                <w:sz w:val="21"/>
                <w:szCs w:val="21"/>
                <w:highlight w:val="none"/>
              </w:rPr>
              <w:t xml:space="preserve">交/竣工</w:t>
            </w:r>
            <w:r>
              <w:rPr>
                <w:rFonts w:hint="eastAsia" w:ascii="宋体" w:hAnsi="宋体" w:eastAsia="宋体" w:cs="宋体"/>
                <w:b/>
                <w:color w:val="000000"/>
                <w:sz w:val="21"/>
                <w:szCs w:val="21"/>
                <w:highlight w:val="none"/>
              </w:rPr>
              <w:t xml:space="preserve">验收时间为准，未提供不得分，若一份合同同时包含以上工作内容，仅按一个业绩计取加分。）</w:t>
            </w:r>
            <w:r>
              <w:rPr>
                <w:rFonts w:hint="eastAsia" w:ascii="宋体" w:hAnsi="宋体" w:eastAsia="宋体" w:cs="宋体"/>
                <w:b/>
                <w:color w:val="000000"/>
                <w:sz w:val="21"/>
                <w:szCs w:val="21"/>
                <w:highlight w:val="none"/>
              </w:rPr>
            </w:r>
            <w:r/>
          </w:p>
          <w:p>
            <w:pPr>
              <w:pStyle w:val="801"/>
              <w:keepLines w:val="0"/>
              <w:keepNext w:val="0"/>
              <w:pageBreakBefore w:val="0"/>
              <w:spacing w:line="264" w:lineRule="auto"/>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注：①</w:t>
            </w:r>
            <w:r>
              <w:rPr>
                <w:rFonts w:hint="eastAsia" w:ascii="宋体" w:hAnsi="宋体" w:eastAsia="宋体" w:cs="宋体"/>
                <w:b/>
                <w:color w:val="000000"/>
                <w:sz w:val="21"/>
                <w:szCs w:val="21"/>
                <w:highlight w:val="none"/>
              </w:rPr>
              <w:t xml:space="preserve">项目经理</w:t>
            </w:r>
            <w:r>
              <w:rPr>
                <w:rFonts w:hint="eastAsia" w:ascii="宋体" w:hAnsi="宋体" w:eastAsia="宋体" w:cs="宋体"/>
                <w:b/>
                <w:color w:val="000000"/>
                <w:sz w:val="21"/>
                <w:szCs w:val="21"/>
                <w:highlight w:val="none"/>
                <w:lang w:val="en-US" w:eastAsia="zh-CN"/>
              </w:rPr>
              <w:t xml:space="preserve">、项目总工（</w:t>
            </w:r>
            <w:r>
              <w:rPr>
                <w:rFonts w:hint="eastAsia" w:ascii="宋体" w:hAnsi="宋体" w:eastAsia="宋体" w:cs="宋体"/>
                <w:b/>
                <w:color w:val="000000"/>
                <w:sz w:val="21"/>
                <w:szCs w:val="21"/>
                <w:highlight w:val="none"/>
              </w:rPr>
              <w:t xml:space="preserve">技术负责人</w:t>
            </w:r>
            <w:r>
              <w:rPr>
                <w:rFonts w:hint="eastAsia" w:ascii="宋体" w:hAnsi="宋体" w:eastAsia="宋体" w:cs="宋体"/>
                <w:b/>
                <w:color w:val="000000"/>
                <w:sz w:val="21"/>
                <w:szCs w:val="21"/>
                <w:highlight w:val="none"/>
                <w:lang w:val="en-US" w:eastAsia="zh-CN"/>
              </w:rPr>
              <w:t xml:space="preserve">）</w:t>
            </w:r>
            <w:r>
              <w:rPr>
                <w:rFonts w:hint="eastAsia" w:ascii="宋体" w:hAnsi="宋体" w:eastAsia="宋体" w:cs="宋体"/>
                <w:b/>
                <w:color w:val="000000"/>
                <w:sz w:val="21"/>
                <w:szCs w:val="21"/>
                <w:highlight w:val="none"/>
              </w:rPr>
              <w:t xml:space="preserve">业绩与企业业绩可重复加分。</w:t>
            </w:r>
            <w:r>
              <w:rPr>
                <w:rFonts w:hint="eastAsia" w:ascii="宋体" w:hAnsi="宋体" w:eastAsia="宋体" w:cs="宋体"/>
                <w:b/>
                <w:color w:val="000000"/>
                <w:sz w:val="21"/>
                <w:szCs w:val="21"/>
                <w:highlight w:val="none"/>
              </w:rPr>
            </w:r>
            <w:r/>
          </w:p>
          <w:p>
            <w:pPr>
              <w:pStyle w:val="801"/>
              <w:keepLines w:val="0"/>
              <w:keepNext w:val="0"/>
              <w:pageBreakBefore w:val="0"/>
              <w:spacing w:line="264" w:lineRule="auto"/>
              <w:widowControl w:val="off"/>
              <w:rPr>
                <w:rFonts w:hint="eastAsia" w:ascii="宋体" w:hAnsi="宋体" w:eastAsia="宋体" w:cs="宋体"/>
                <w:bCs/>
                <w:color w:val="000000"/>
                <w:sz w:val="21"/>
                <w:szCs w:val="21"/>
                <w:highlight w:val="none"/>
              </w:rPr>
            </w:pPr>
            <w:r>
              <w:rPr>
                <w:rFonts w:hint="eastAsia" w:ascii="宋体" w:hAnsi="宋体" w:eastAsia="宋体" w:cs="宋体"/>
                <w:b/>
                <w:color w:val="000000"/>
                <w:sz w:val="21"/>
                <w:szCs w:val="21"/>
                <w:highlight w:val="none"/>
              </w:rPr>
              <w:t xml:space="preserve">*②企业业绩评审以“企业代表工程表”为准，未在表中填报的业绩不予评审。</w:t>
            </w:r>
            <w:r>
              <w:rPr>
                <w:rFonts w:hint="eastAsia" w:ascii="宋体" w:hAnsi="宋体" w:eastAsia="宋体" w:cs="宋体"/>
                <w:bCs/>
                <w:color w:val="000000"/>
                <w:sz w:val="21"/>
                <w:szCs w:val="21"/>
                <w:highlight w:val="none"/>
              </w:rPr>
            </w:r>
            <w:r/>
          </w:p>
        </w:tc>
      </w:tr>
      <w:tr>
        <w:trPr>
          <w:trHeight w:val="2863"/>
        </w:trPr>
        <w:tc>
          <w:tcPr>
            <w:tcW w:w="572" w:type="dxa"/>
            <w:vAlign w:val="center"/>
            <w:vMerge w:val="restart"/>
            <w:textDirection w:val="lrTb"/>
            <w:noWrap w:val="false"/>
          </w:tcPr>
          <w:p>
            <w:pPr>
              <w:pStyle w:val="801"/>
              <w:jc w:val="center"/>
              <w:keepLines w:val="0"/>
              <w:keepNext w:val="0"/>
              <w:pageBreakBefore w:val="0"/>
              <w:spacing w:line="264"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技术部分</w:t>
            </w:r>
            <w:r>
              <w:rPr>
                <w:rFonts w:hint="eastAsia" w:ascii="宋体" w:hAnsi="宋体" w:eastAsia="宋体" w:cs="宋体"/>
                <w:b w:val="0"/>
                <w:bCs w:val="0"/>
                <w:color w:val="000000"/>
                <w:sz w:val="21"/>
                <w:szCs w:val="21"/>
                <w:highlight w:val="none"/>
              </w:rPr>
            </w:r>
            <w:r/>
          </w:p>
          <w:p>
            <w:pPr>
              <w:pStyle w:val="801"/>
              <w:jc w:val="center"/>
              <w:keepLines w:val="0"/>
              <w:keepNext w:val="0"/>
              <w:pageBreakBefore w:val="0"/>
              <w:spacing w:line="264" w:lineRule="auto"/>
              <w:widowControl w:val="off"/>
              <w:rPr>
                <w:rFonts w:hint="eastAsia" w:ascii="宋体" w:hAnsi="宋体" w:eastAsia="宋体" w:cs="宋体"/>
                <w:b/>
                <w:color w:val="000000"/>
                <w:sz w:val="21"/>
                <w:szCs w:val="21"/>
                <w:highlight w:val="none"/>
              </w:rPr>
            </w:pPr>
            <w:r>
              <w:rPr>
                <w:rFonts w:hint="eastAsia" w:ascii="宋体" w:hAnsi="宋体" w:eastAsia="宋体" w:cs="宋体"/>
                <w:b w:val="0"/>
                <w:bCs w:val="0"/>
                <w:color w:val="000000"/>
                <w:sz w:val="21"/>
                <w:szCs w:val="21"/>
                <w:highlight w:val="none"/>
              </w:rPr>
              <w:t xml:space="preserve">（38分）</w:t>
            </w:r>
            <w:r>
              <w:rPr>
                <w:rFonts w:hint="eastAsia" w:ascii="宋体" w:hAnsi="宋体" w:eastAsia="宋体" w:cs="宋体"/>
                <w:b/>
                <w:color w:val="000000"/>
                <w:sz w:val="21"/>
                <w:szCs w:val="21"/>
                <w:highlight w:val="none"/>
              </w:rPr>
            </w:r>
            <w:r/>
          </w:p>
        </w:tc>
        <w:tc>
          <w:tcPr>
            <w:tcW w:w="596" w:type="dxa"/>
            <w:vAlign w:val="center"/>
            <w:textDirection w:val="lrTb"/>
            <w:noWrap w:val="false"/>
          </w:tcPr>
          <w:p>
            <w:pPr>
              <w:pStyle w:val="801"/>
              <w:ind w:right="-58"/>
              <w:jc w:val="center"/>
              <w:keepLines w:val="0"/>
              <w:keepNext w:val="0"/>
              <w:pageBreakBefore w:val="0"/>
              <w:spacing w:line="264"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总体施工方案</w:t>
            </w:r>
            <w:r>
              <w:rPr>
                <w:rFonts w:hint="eastAsia" w:ascii="宋体" w:hAnsi="宋体" w:eastAsia="宋体" w:cs="宋体"/>
                <w:color w:val="000000"/>
                <w:sz w:val="21"/>
                <w:szCs w:val="21"/>
                <w:highlight w:val="none"/>
              </w:rPr>
            </w:r>
            <w:r/>
          </w:p>
          <w:p>
            <w:pPr>
              <w:pStyle w:val="801"/>
              <w:ind w:right="-58"/>
              <w:jc w:val="center"/>
              <w:keepLines w:val="0"/>
              <w:keepNext w:val="0"/>
              <w:pageBreakBefore w:val="0"/>
              <w:spacing w:line="264"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（10分）</w:t>
            </w:r>
            <w:r>
              <w:rPr>
                <w:rFonts w:hint="eastAsia" w:ascii="宋体" w:hAnsi="宋体" w:eastAsia="宋体" w:cs="宋体"/>
                <w:color w:val="000000"/>
                <w:sz w:val="21"/>
                <w:szCs w:val="21"/>
                <w:highlight w:val="none"/>
              </w:rPr>
            </w:r>
            <w:r/>
          </w:p>
        </w:tc>
        <w:tc>
          <w:tcPr>
            <w:tcW w:w="3830" w:type="dxa"/>
            <w:vAlign w:val="center"/>
            <w:textDirection w:val="lrTb"/>
            <w:noWrap w:val="false"/>
          </w:tcPr>
          <w:p>
            <w:pPr>
              <w:pStyle w:val="801"/>
              <w:keepLines w:val="0"/>
              <w:keepNext w:val="0"/>
              <w:pageBreakBefore w:val="0"/>
              <w:spacing w:line="264"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根据投标人的施工方案内容；提出合理化建议的情况并对施工过程中可能出现的安全、质量问题的事前控制措施；特殊情况的影响及采取的施工安排和措施，总工期目标的实现保证措施</w:t>
            </w:r>
            <w:r>
              <w:rPr>
                <w:rFonts w:hint="eastAsia" w:ascii="宋体" w:hAnsi="宋体" w:eastAsia="宋体" w:cs="宋体"/>
                <w:bCs/>
                <w:color w:val="000000"/>
                <w:sz w:val="21"/>
                <w:szCs w:val="21"/>
                <w:highlight w:val="none"/>
              </w:rPr>
              <w:t xml:space="preserve">进行评价：</w:t>
            </w:r>
            <w:r>
              <w:rPr>
                <w:rFonts w:hint="eastAsia" w:ascii="宋体" w:hAnsi="宋体" w:eastAsia="宋体" w:cs="宋体"/>
                <w:color w:val="000000"/>
                <w:sz w:val="21"/>
                <w:szCs w:val="21"/>
                <w:highlight w:val="none"/>
              </w:rPr>
            </w:r>
            <w:r/>
          </w:p>
          <w:p>
            <w:pPr>
              <w:pStyle w:val="801"/>
              <w:keepLines w:val="0"/>
              <w:keepNext w:val="0"/>
              <w:pageBreakBefore w:val="0"/>
              <w:spacing w:line="264"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总体施工组织、施工方案逻辑清晰、全面、准确、有可操作性、可执行性，同时结合施工</w:t>
            </w:r>
            <w:r>
              <w:rPr>
                <w:rFonts w:hint="eastAsia" w:ascii="宋体" w:hAnsi="宋体" w:eastAsia="宋体" w:cs="宋体"/>
                <w:color w:val="000000"/>
                <w:sz w:val="21"/>
                <w:szCs w:val="21"/>
                <w:highlight w:val="none"/>
                <w:lang w:val="en-US" w:eastAsia="zh-CN"/>
              </w:rPr>
              <w:t xml:space="preserve">工艺</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t xml:space="preserve">方法</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套箱预制场地安排</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危大工程</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人力资源、主要施工机具，拟采取对策和解决措施细致、扎实、有效且内容完整且详实，优于项目需求的，得10分；</w:t>
            </w:r>
            <w:r>
              <w:rPr>
                <w:rFonts w:hint="eastAsia" w:ascii="宋体" w:hAnsi="宋体" w:eastAsia="宋体" w:cs="宋体"/>
                <w:color w:val="000000"/>
                <w:sz w:val="21"/>
                <w:szCs w:val="21"/>
                <w:highlight w:val="none"/>
              </w:rPr>
            </w:r>
            <w:r/>
          </w:p>
          <w:p>
            <w:pPr>
              <w:pStyle w:val="801"/>
              <w:keepLines w:val="0"/>
              <w:keepNext w:val="0"/>
              <w:pageBreakBefore w:val="0"/>
              <w:spacing w:line="264"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符合项目需求的，得8分；</w:t>
            </w:r>
            <w:r>
              <w:rPr>
                <w:rFonts w:hint="eastAsia" w:ascii="宋体" w:hAnsi="宋体" w:eastAsia="宋体" w:cs="宋体"/>
                <w:color w:val="000000"/>
                <w:sz w:val="21"/>
                <w:szCs w:val="21"/>
                <w:highlight w:val="none"/>
              </w:rPr>
            </w:r>
            <w:r/>
          </w:p>
          <w:p>
            <w:pPr>
              <w:pStyle w:val="801"/>
              <w:keepLines w:val="0"/>
              <w:keepNext w:val="0"/>
              <w:pageBreakBefore w:val="0"/>
              <w:spacing w:line="264"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施工方案不完整，得6分；</w:t>
            </w:r>
            <w:r>
              <w:rPr>
                <w:rFonts w:hint="eastAsia" w:ascii="宋体" w:hAnsi="宋体" w:eastAsia="宋体" w:cs="宋体"/>
                <w:color w:val="000000"/>
                <w:sz w:val="21"/>
                <w:szCs w:val="21"/>
                <w:highlight w:val="none"/>
              </w:rPr>
            </w:r>
            <w:r/>
          </w:p>
          <w:p>
            <w:pPr>
              <w:pStyle w:val="801"/>
              <w:keepLines w:val="0"/>
              <w:keepNext w:val="0"/>
              <w:pageBreakBefore w:val="0"/>
              <w:spacing w:line="264"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不符合项目需求或未提供的不得分。</w:t>
            </w:r>
            <w:r>
              <w:rPr>
                <w:rFonts w:hint="eastAsia" w:ascii="宋体" w:hAnsi="宋体" w:eastAsia="宋体" w:cs="宋体"/>
                <w:color w:val="000000"/>
                <w:sz w:val="21"/>
                <w:szCs w:val="21"/>
                <w:highlight w:val="none"/>
              </w:rPr>
            </w:r>
            <w:r/>
          </w:p>
        </w:tc>
      </w:tr>
      <w:tr>
        <w:trPr>
          <w:trHeight w:val="3171"/>
        </w:trPr>
        <w:tc>
          <w:tcPr>
            <w:tcW w:w="572" w:type="dxa"/>
            <w:vAlign w:val="center"/>
            <w:vMerge w:val="continue"/>
            <w:textDirection w:val="lrTb"/>
            <w:noWrap w:val="false"/>
          </w:tcPr>
          <w:p>
            <w:pPr>
              <w:pStyle w:val="801"/>
              <w:jc w:val="center"/>
              <w:keepLines w:val="0"/>
              <w:keepNext w:val="0"/>
              <w:pageBreakBefore w:val="0"/>
              <w:spacing w:line="264" w:lineRule="auto"/>
              <w:shd w:val="clear" w:color="auto" w:fill="ffffff"/>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596" w:type="dxa"/>
            <w:vAlign w:val="center"/>
            <w:textDirection w:val="lrTb"/>
            <w:noWrap w:val="false"/>
          </w:tcPr>
          <w:p>
            <w:pPr>
              <w:pStyle w:val="801"/>
              <w:ind w:right="-58"/>
              <w:jc w:val="center"/>
              <w:keepLines w:val="0"/>
              <w:keepNext w:val="0"/>
              <w:pageBreakBefore w:val="0"/>
              <w:spacing w:line="264"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重、难点</w:t>
            </w:r>
            <w:r>
              <w:rPr>
                <w:rFonts w:hint="eastAsia" w:ascii="宋体" w:hAnsi="宋体" w:eastAsia="宋体" w:cs="宋体"/>
                <w:bCs/>
                <w:color w:val="000000"/>
                <w:sz w:val="21"/>
                <w:szCs w:val="21"/>
                <w:highlight w:val="none"/>
              </w:rPr>
            </w:r>
            <w:r/>
          </w:p>
          <w:p>
            <w:pPr>
              <w:pStyle w:val="801"/>
              <w:ind w:right="-58"/>
              <w:jc w:val="center"/>
              <w:keepLines w:val="0"/>
              <w:keepNext w:val="0"/>
              <w:pageBreakBefore w:val="0"/>
              <w:spacing w:line="264" w:lineRule="auto"/>
              <w:widowControl w:val="off"/>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rPr>
              <w:t xml:space="preserve">分析</w:t>
            </w:r>
            <w:r>
              <w:rPr>
                <w:rFonts w:hint="eastAsia" w:ascii="宋体" w:hAnsi="宋体" w:eastAsia="宋体" w:cs="宋体"/>
                <w:color w:val="000000"/>
                <w:sz w:val="21"/>
                <w:szCs w:val="21"/>
                <w:highlight w:val="none"/>
              </w:rPr>
            </w:r>
            <w:r/>
          </w:p>
          <w:p>
            <w:pPr>
              <w:pStyle w:val="801"/>
              <w:ind w:right="-58"/>
              <w:jc w:val="center"/>
              <w:keepLines w:val="0"/>
              <w:keepNext w:val="0"/>
              <w:pageBreakBefore w:val="0"/>
              <w:spacing w:line="264"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（10分）</w:t>
            </w:r>
            <w:r>
              <w:rPr>
                <w:rFonts w:hint="eastAsia" w:ascii="宋体" w:hAnsi="宋体" w:eastAsia="宋体" w:cs="宋体"/>
                <w:color w:val="000000"/>
                <w:sz w:val="21"/>
                <w:szCs w:val="21"/>
                <w:highlight w:val="none"/>
              </w:rPr>
            </w:r>
            <w:r/>
          </w:p>
        </w:tc>
        <w:tc>
          <w:tcPr>
            <w:tcW w:w="3830" w:type="dxa"/>
            <w:vAlign w:val="center"/>
            <w:textDirection w:val="lrTb"/>
            <w:noWrap w:val="false"/>
          </w:tcPr>
          <w:p>
            <w:pPr>
              <w:pStyle w:val="801"/>
              <w:keepLines w:val="0"/>
              <w:keepNext w:val="0"/>
              <w:pageBreakBefore w:val="0"/>
              <w:spacing w:line="264" w:lineRule="auto"/>
              <w:widowControl w:val="off"/>
              <w:tabs>
                <w:tab w:val="left" w:pos="0"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根据投标人提供的重点(关键)和难点工程的分析及所采取的方案、措施是否可行、是否有较详细的施工工艺流程图进行评价：</w:t>
            </w:r>
            <w:r>
              <w:rPr>
                <w:rFonts w:hint="eastAsia" w:ascii="宋体" w:hAnsi="宋体" w:eastAsia="宋体" w:cs="宋体"/>
                <w:bCs/>
                <w:color w:val="000000"/>
                <w:sz w:val="21"/>
                <w:szCs w:val="21"/>
                <w:highlight w:val="none"/>
              </w:rPr>
            </w:r>
            <w:r/>
          </w:p>
          <w:p>
            <w:pPr>
              <w:pStyle w:val="801"/>
              <w:keepLines w:val="0"/>
              <w:keepNext w:val="0"/>
              <w:pageBreakBefore w:val="0"/>
              <w:spacing w:line="264" w:lineRule="auto"/>
              <w:widowControl w:val="off"/>
              <w:tabs>
                <w:tab w:val="left" w:pos="0" w:leader="none"/>
              </w:tabs>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rPr>
              <w:t xml:space="preserve">根据工程项目特点、投标人施工能力和施工条件分析并提出相应的对策和解决措施。对项目存在的重点难点问题进行分析，提出有效解决方案及合理化建议，重点难点分析</w:t>
            </w:r>
            <w:r>
              <w:rPr>
                <w:rFonts w:hint="eastAsia" w:ascii="宋体" w:hAnsi="宋体" w:eastAsia="宋体" w:cs="宋体"/>
                <w:bCs/>
                <w:color w:val="000000"/>
                <w:sz w:val="21"/>
                <w:szCs w:val="21"/>
                <w:highlight w:val="none"/>
                <w:lang w:val="en-US" w:eastAsia="zh-CN"/>
              </w:rPr>
              <w:t xml:space="preserve">围绕</w:t>
            </w:r>
            <w:r>
              <w:rPr>
                <w:rFonts w:hint="eastAsia" w:ascii="宋体" w:hAnsi="宋体" w:eastAsia="宋体" w:cs="宋体"/>
                <w:bCs/>
                <w:color w:val="000000"/>
                <w:sz w:val="21"/>
                <w:szCs w:val="21"/>
                <w:highlight w:val="none"/>
                <w:lang w:val="en-US" w:eastAsia="zh-CN"/>
              </w:rPr>
              <w:t xml:space="preserve">长江潮汐河段，</w:t>
            </w:r>
            <w:r>
              <w:rPr>
                <w:rFonts w:hint="eastAsia" w:ascii="宋体" w:hAnsi="宋体" w:eastAsia="宋体" w:cs="宋体"/>
                <w:bCs/>
                <w:color w:val="000000"/>
                <w:sz w:val="21"/>
                <w:szCs w:val="21"/>
                <w:highlight w:val="none"/>
                <w:lang w:val="en-US" w:eastAsia="zh-CN"/>
              </w:rPr>
              <w:t xml:space="preserve">汛期、台风等不利条件制定防控措施，</w:t>
            </w:r>
            <w:r>
              <w:rPr>
                <w:rFonts w:hint="eastAsia" w:ascii="宋体" w:hAnsi="宋体" w:eastAsia="宋体" w:cs="宋体"/>
                <w:bCs/>
                <w:color w:val="000000"/>
                <w:sz w:val="21"/>
                <w:szCs w:val="21"/>
                <w:highlight w:val="none"/>
              </w:rPr>
              <w:t xml:space="preserve">逻辑清晰、全面、准确，</w:t>
            </w:r>
            <w:r>
              <w:rPr>
                <w:rFonts w:hint="eastAsia" w:ascii="宋体" w:hAnsi="宋体" w:eastAsia="宋体" w:cs="宋体"/>
                <w:bCs/>
                <w:color w:val="000000"/>
                <w:sz w:val="21"/>
                <w:szCs w:val="21"/>
                <w:highlight w:val="none"/>
                <w:lang w:val="en-US" w:eastAsia="zh-CN"/>
              </w:rPr>
              <w:t xml:space="preserve">针对</w:t>
            </w:r>
            <w:r>
              <w:rPr>
                <w:rFonts w:hint="eastAsia" w:ascii="宋体" w:hAnsi="宋体" w:eastAsia="宋体" w:cs="宋体"/>
                <w:bCs/>
                <w:color w:val="000000"/>
                <w:sz w:val="21"/>
                <w:szCs w:val="21"/>
                <w:highlight w:val="none"/>
                <w:lang w:val="en-US" w:eastAsia="zh-CN"/>
              </w:rPr>
              <w:t xml:space="preserve">不断航施工</w:t>
            </w:r>
            <w:r>
              <w:rPr>
                <w:rFonts w:hint="eastAsia" w:ascii="宋体" w:hAnsi="宋体" w:eastAsia="宋体" w:cs="宋体"/>
                <w:bCs/>
                <w:color w:val="000000"/>
                <w:sz w:val="21"/>
                <w:szCs w:val="21"/>
                <w:highlight w:val="none"/>
              </w:rPr>
              <w:t xml:space="preserve">拟采取对策措施细致、扎实、有效，具有可执行性、可操作性和相对合理性</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lang w:eastAsia="zh-CN"/>
              </w:rPr>
            </w:r>
            <w:r/>
          </w:p>
          <w:p>
            <w:pPr>
              <w:pStyle w:val="801"/>
              <w:keepLines w:val="0"/>
              <w:keepNext w:val="0"/>
              <w:pageBreakBefore w:val="0"/>
              <w:spacing w:line="264" w:lineRule="auto"/>
              <w:widowControl w:val="off"/>
              <w:tabs>
                <w:tab w:val="left" w:pos="0"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优于项目需求的，得10分；</w:t>
            </w:r>
            <w:r>
              <w:rPr>
                <w:rFonts w:hint="eastAsia" w:ascii="宋体" w:hAnsi="宋体" w:eastAsia="宋体" w:cs="宋体"/>
                <w:bCs/>
                <w:color w:val="000000"/>
                <w:sz w:val="21"/>
                <w:szCs w:val="21"/>
                <w:highlight w:val="none"/>
              </w:rPr>
            </w:r>
            <w:r/>
          </w:p>
          <w:p>
            <w:pPr>
              <w:pStyle w:val="801"/>
              <w:keepLines w:val="0"/>
              <w:keepNext w:val="0"/>
              <w:pageBreakBefore w:val="0"/>
              <w:spacing w:line="264" w:lineRule="auto"/>
              <w:widowControl w:val="off"/>
              <w:tabs>
                <w:tab w:val="left" w:pos="0"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符合项目需求的，得8分；</w:t>
            </w:r>
            <w:r>
              <w:rPr>
                <w:rFonts w:hint="eastAsia" w:ascii="宋体" w:hAnsi="宋体" w:eastAsia="宋体" w:cs="宋体"/>
                <w:bCs/>
                <w:color w:val="000000"/>
                <w:sz w:val="21"/>
                <w:szCs w:val="21"/>
                <w:highlight w:val="none"/>
              </w:rPr>
            </w:r>
            <w:r/>
          </w:p>
          <w:p>
            <w:pPr>
              <w:pStyle w:val="801"/>
              <w:keepLines w:val="0"/>
              <w:keepNext w:val="0"/>
              <w:pageBreakBefore w:val="0"/>
              <w:spacing w:line="264" w:lineRule="auto"/>
              <w:widowControl w:val="off"/>
              <w:tabs>
                <w:tab w:val="left" w:pos="0"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重、难点分析不全面，提供的应对措施不完整，得6分；</w:t>
            </w:r>
            <w:r>
              <w:rPr>
                <w:rFonts w:hint="eastAsia" w:ascii="宋体" w:hAnsi="宋体" w:eastAsia="宋体" w:cs="宋体"/>
                <w:bCs/>
                <w:color w:val="000000"/>
                <w:sz w:val="21"/>
                <w:szCs w:val="21"/>
                <w:highlight w:val="none"/>
              </w:rPr>
            </w:r>
            <w:r/>
          </w:p>
          <w:p>
            <w:pPr>
              <w:pStyle w:val="801"/>
              <w:keepLines w:val="0"/>
              <w:keepNext w:val="0"/>
              <w:pageBreakBefore w:val="0"/>
              <w:spacing w:line="264" w:lineRule="auto"/>
              <w:widowControl w:val="off"/>
              <w:tabs>
                <w:tab w:val="left" w:pos="0"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不符合项目需求或未提供的不得分。</w:t>
            </w:r>
            <w:r>
              <w:rPr>
                <w:rFonts w:hint="eastAsia" w:ascii="宋体" w:hAnsi="宋体" w:eastAsia="宋体" w:cs="宋体"/>
                <w:bCs/>
                <w:color w:val="000000"/>
                <w:sz w:val="21"/>
                <w:szCs w:val="21"/>
                <w:highlight w:val="none"/>
              </w:rPr>
            </w:r>
            <w:r/>
          </w:p>
        </w:tc>
      </w:tr>
      <w:tr>
        <w:trPr>
          <w:trHeight w:val="5295"/>
        </w:trPr>
        <w:tc>
          <w:tcPr>
            <w:tcW w:w="572" w:type="dxa"/>
            <w:vAlign w:val="center"/>
            <w:vMerge w:val="continue"/>
            <w:textDirection w:val="lrTb"/>
            <w:noWrap w:val="false"/>
          </w:tcPr>
          <w:p>
            <w:pPr>
              <w:pStyle w:val="801"/>
              <w:jc w:val="center"/>
              <w:keepLines w:val="0"/>
              <w:keepNext w:val="0"/>
              <w:pageBreakBefore w:val="0"/>
              <w:spacing w:line="264" w:lineRule="auto"/>
              <w:shd w:val="clear" w:color="auto" w:fill="ffffff"/>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596" w:type="dxa"/>
            <w:vAlign w:val="center"/>
            <w:textDirection w:val="lrTb"/>
            <w:noWrap w:val="false"/>
          </w:tcPr>
          <w:p>
            <w:pPr>
              <w:pStyle w:val="801"/>
              <w:ind w:left="420" w:hanging="420"/>
              <w:jc w:val="center"/>
              <w:keepLines w:val="0"/>
              <w:keepNext w:val="0"/>
              <w:pageBreakBefore w:val="0"/>
              <w:spacing w:line="264" w:lineRule="auto"/>
              <w:widowControl w:val="off"/>
              <w:tabs>
                <w:tab w:val="left" w:pos="0"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安全保证</w:t>
            </w:r>
            <w:r>
              <w:rPr>
                <w:rFonts w:hint="eastAsia" w:ascii="宋体" w:hAnsi="宋体" w:eastAsia="宋体" w:cs="宋体"/>
                <w:bCs/>
                <w:color w:val="000000"/>
                <w:sz w:val="21"/>
                <w:szCs w:val="21"/>
                <w:highlight w:val="none"/>
              </w:rPr>
            </w:r>
            <w:r/>
          </w:p>
          <w:p>
            <w:pPr>
              <w:pStyle w:val="801"/>
              <w:ind w:left="420" w:hanging="420"/>
              <w:jc w:val="center"/>
              <w:keepLines w:val="0"/>
              <w:keepNext w:val="0"/>
              <w:pageBreakBefore w:val="0"/>
              <w:spacing w:line="264" w:lineRule="auto"/>
              <w:widowControl w:val="off"/>
              <w:tabs>
                <w:tab w:val="left" w:pos="0"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措施</w:t>
            </w:r>
            <w:r>
              <w:rPr>
                <w:rFonts w:hint="eastAsia" w:ascii="宋体" w:hAnsi="宋体" w:eastAsia="宋体" w:cs="宋体"/>
                <w:bCs/>
                <w:color w:val="000000"/>
                <w:sz w:val="21"/>
                <w:szCs w:val="21"/>
                <w:highlight w:val="none"/>
              </w:rPr>
            </w:r>
            <w:r/>
          </w:p>
          <w:p>
            <w:pPr>
              <w:pStyle w:val="801"/>
              <w:ind w:left="420" w:hanging="420"/>
              <w:jc w:val="center"/>
              <w:keepLines w:val="0"/>
              <w:keepNext w:val="0"/>
              <w:pageBreakBefore w:val="0"/>
              <w:spacing w:line="264" w:lineRule="auto"/>
              <w:widowControl w:val="off"/>
              <w:tabs>
                <w:tab w:val="left" w:pos="0"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（9分）</w:t>
            </w:r>
            <w:r>
              <w:rPr>
                <w:rFonts w:hint="eastAsia" w:ascii="宋体" w:hAnsi="宋体" w:eastAsia="宋体" w:cs="宋体"/>
                <w:bCs/>
                <w:color w:val="000000"/>
                <w:sz w:val="21"/>
                <w:szCs w:val="21"/>
                <w:highlight w:val="none"/>
              </w:rPr>
            </w:r>
            <w:r/>
          </w:p>
        </w:tc>
        <w:tc>
          <w:tcPr>
            <w:tcW w:w="3830" w:type="dxa"/>
            <w:vAlign w:val="center"/>
            <w:textDirection w:val="lrTb"/>
            <w:noWrap w:val="false"/>
          </w:tcPr>
          <w:p>
            <w:pPr>
              <w:pStyle w:val="801"/>
              <w:keepLines w:val="0"/>
              <w:keepNext w:val="0"/>
              <w:pageBreakBefore w:val="0"/>
              <w:spacing w:line="264" w:lineRule="auto"/>
              <w:widowControl w:val="off"/>
              <w:tabs>
                <w:tab w:val="left" w:pos="0"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根据投标人提供的安全保证措施方案完整性、针对性、可行性，结合安全管理六化（网格化、专业化、数字化、全员化、实体化、手册化）的落实、双重预防机制建立运行、安全清单管理、水上起重设备及套箱吊装专项安全管控、水上水下作业通航安全保障措施等内容完善程度进行综合评价：</w:t>
            </w:r>
            <w:r>
              <w:rPr>
                <w:rFonts w:hint="eastAsia" w:ascii="宋体" w:hAnsi="宋体" w:eastAsia="宋体" w:cs="宋体"/>
                <w:bCs/>
                <w:color w:val="000000"/>
                <w:sz w:val="21"/>
                <w:szCs w:val="21"/>
                <w:highlight w:val="none"/>
              </w:rPr>
            </w:r>
            <w:r/>
          </w:p>
          <w:p>
            <w:pPr>
              <w:pStyle w:val="801"/>
              <w:keepLines w:val="0"/>
              <w:keepNext w:val="0"/>
              <w:pageBreakBefore w:val="0"/>
              <w:spacing w:line="264" w:lineRule="auto"/>
              <w:widowControl w:val="off"/>
              <w:tabs>
                <w:tab w:val="left" w:pos="0" w:leader="none"/>
              </w:tabs>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rPr>
              <w:t xml:space="preserve">投标人安全保证措施体系完整，全面落实安全管理六化建设要求，双重预防机制健全且可落地，安全清单内容详实规范，水上起重设备、套箱吊装专项安全管控方案完善，</w:t>
            </w:r>
            <w:r>
              <w:rPr>
                <w:rFonts w:hint="eastAsia" w:ascii="宋体" w:hAnsi="宋体" w:eastAsia="宋体" w:cs="宋体"/>
                <w:bCs/>
                <w:color w:val="000000"/>
                <w:sz w:val="21"/>
                <w:szCs w:val="21"/>
                <w:highlight w:val="none"/>
                <w:lang w:val="en-US" w:eastAsia="zh-CN"/>
              </w:rPr>
              <w:t xml:space="preserve">较大以上风险隐患防控措施到位，国家法定节假日提级管控措施落实，</w:t>
            </w:r>
            <w:r>
              <w:rPr>
                <w:rFonts w:hint="eastAsia" w:ascii="宋体" w:hAnsi="宋体" w:eastAsia="宋体" w:cs="宋体"/>
                <w:bCs/>
                <w:color w:val="000000"/>
                <w:sz w:val="21"/>
                <w:szCs w:val="21"/>
                <w:highlight w:val="none"/>
              </w:rPr>
              <w:t xml:space="preserve">水上水下作业通航安全保障措施周全合理，整体方案针对性强、逻辑清晰、内容详实、可操作性强</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lang w:eastAsia="zh-CN"/>
              </w:rPr>
            </w:r>
            <w:r/>
          </w:p>
          <w:p>
            <w:pPr>
              <w:pStyle w:val="801"/>
              <w:keepLines w:val="0"/>
              <w:keepNext w:val="0"/>
              <w:pageBreakBefore w:val="0"/>
              <w:spacing w:line="264" w:lineRule="auto"/>
              <w:widowControl w:val="off"/>
              <w:tabs>
                <w:tab w:val="left" w:pos="0"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优于项目安全管理需求的，得9分；</w:t>
            </w:r>
            <w:r>
              <w:rPr>
                <w:rFonts w:hint="eastAsia" w:ascii="宋体" w:hAnsi="宋体" w:eastAsia="宋体" w:cs="宋体"/>
                <w:bCs/>
                <w:color w:val="000000"/>
                <w:sz w:val="21"/>
                <w:szCs w:val="21"/>
                <w:highlight w:val="none"/>
              </w:rPr>
            </w:r>
            <w:r/>
          </w:p>
          <w:p>
            <w:pPr>
              <w:pStyle w:val="801"/>
              <w:keepLines w:val="0"/>
              <w:keepNext w:val="0"/>
              <w:pageBreakBefore w:val="0"/>
              <w:spacing w:line="264" w:lineRule="auto"/>
              <w:widowControl w:val="off"/>
              <w:tabs>
                <w:tab w:val="left" w:pos="0"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安全保证措施内容完整，涵盖六化管理、双重预防机制、安全清单及各类水上专项作业安全措施，内容合理、满足项目施工安全管理全部需求的，得7分；</w:t>
            </w:r>
            <w:r>
              <w:rPr>
                <w:rFonts w:hint="eastAsia" w:ascii="宋体" w:hAnsi="宋体" w:eastAsia="宋体" w:cs="宋体"/>
                <w:bCs/>
                <w:color w:val="000000"/>
                <w:sz w:val="21"/>
                <w:szCs w:val="21"/>
                <w:highlight w:val="none"/>
              </w:rPr>
            </w:r>
            <w:r/>
          </w:p>
          <w:p>
            <w:pPr>
              <w:pStyle w:val="801"/>
              <w:keepLines w:val="0"/>
              <w:keepNext w:val="0"/>
              <w:pageBreakBefore w:val="0"/>
              <w:spacing w:line="264" w:lineRule="auto"/>
              <w:widowControl w:val="off"/>
              <w:tabs>
                <w:tab w:val="left" w:pos="0"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安全管理六化内容缺失较多，双重预防机制、安全清单落实不到位，水上起重吊装、水上水下通航保障等专项安全措施不全面、内容简略，关键管控内容存在缺漏的，得5分；</w:t>
            </w:r>
            <w:r>
              <w:rPr>
                <w:rFonts w:hint="eastAsia" w:ascii="宋体" w:hAnsi="宋体" w:eastAsia="宋体" w:cs="宋体"/>
                <w:bCs/>
                <w:color w:val="000000"/>
                <w:sz w:val="21"/>
                <w:szCs w:val="21"/>
                <w:highlight w:val="none"/>
              </w:rPr>
            </w:r>
            <w:r/>
          </w:p>
          <w:p>
            <w:pPr>
              <w:pStyle w:val="801"/>
              <w:keepLines w:val="0"/>
              <w:keepNext w:val="0"/>
              <w:pageBreakBefore w:val="0"/>
              <w:spacing w:line="264" w:lineRule="auto"/>
              <w:widowControl w:val="off"/>
              <w:tabs>
                <w:tab w:val="left" w:pos="0"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安全保证措施不符合项目施工安全要求，关键评审内容严重缺失或未提供安全保证措施方案的，不得分。</w:t>
            </w:r>
            <w:r>
              <w:rPr>
                <w:rFonts w:hint="eastAsia" w:ascii="宋体" w:hAnsi="宋体" w:eastAsia="宋体" w:cs="宋体"/>
                <w:bCs/>
                <w:color w:val="000000"/>
                <w:sz w:val="21"/>
                <w:szCs w:val="21"/>
                <w:highlight w:val="none"/>
              </w:rPr>
            </w:r>
            <w:r/>
          </w:p>
        </w:tc>
      </w:tr>
      <w:tr>
        <w:trPr>
          <w:trHeight w:val="4081"/>
        </w:trPr>
        <w:tc>
          <w:tcPr>
            <w:tcW w:w="572" w:type="dxa"/>
            <w:vAlign w:val="center"/>
            <w:vMerge w:val="continue"/>
            <w:textDirection w:val="lrTb"/>
            <w:noWrap w:val="false"/>
          </w:tcPr>
          <w:p>
            <w:pPr>
              <w:pStyle w:val="801"/>
              <w:jc w:val="center"/>
              <w:keepLines w:val="0"/>
              <w:keepNext w:val="0"/>
              <w:pageBreakBefore w:val="0"/>
              <w:spacing w:line="264" w:lineRule="auto"/>
              <w:shd w:val="clear" w:color="auto" w:fill="ffffff"/>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596" w:type="dxa"/>
            <w:vAlign w:val="center"/>
            <w:textDirection w:val="lrTb"/>
            <w:noWrap w:val="false"/>
          </w:tcPr>
          <w:p>
            <w:pPr>
              <w:pStyle w:val="801"/>
              <w:ind w:right="-58"/>
              <w:jc w:val="center"/>
              <w:keepLines w:val="0"/>
              <w:keepNext w:val="0"/>
              <w:pageBreakBefore w:val="0"/>
              <w:spacing w:line="264"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质量、进度、环保等措施及合理化建议（9分）</w:t>
            </w:r>
            <w:r>
              <w:rPr>
                <w:rFonts w:hint="eastAsia" w:ascii="宋体" w:hAnsi="宋体" w:eastAsia="宋体" w:cs="宋体"/>
                <w:color w:val="000000"/>
                <w:sz w:val="21"/>
                <w:szCs w:val="21"/>
                <w:highlight w:val="none"/>
              </w:rPr>
            </w:r>
            <w:r/>
          </w:p>
        </w:tc>
        <w:tc>
          <w:tcPr>
            <w:tcW w:w="3830" w:type="dxa"/>
            <w:vAlign w:val="center"/>
            <w:textDirection w:val="lrTb"/>
            <w:noWrap w:val="false"/>
          </w:tcPr>
          <w:p>
            <w:pPr>
              <w:pStyle w:val="801"/>
              <w:keepLines w:val="0"/>
              <w:keepNext w:val="0"/>
              <w:pageBreakBefore w:val="0"/>
              <w:spacing w:line="264" w:lineRule="auto"/>
              <w:widowControl w:val="off"/>
              <w:tabs>
                <w:tab w:val="left" w:pos="0"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提出合理化建议的情况；对施工过程中可能出现的安全、质量问题有较细致的事前控制措施；对保证工程进度和完善的交通组织安排提出具体可靠的方案；</w:t>
            </w:r>
            <w:r>
              <w:rPr>
                <w:rFonts w:hint="eastAsia" w:ascii="宋体" w:hAnsi="宋体" w:eastAsia="宋体" w:cs="宋体"/>
                <w:bCs/>
                <w:color w:val="000000"/>
                <w:sz w:val="21"/>
                <w:szCs w:val="21"/>
                <w:highlight w:val="none"/>
                <w:lang w:val="en-US" w:eastAsia="zh-CN"/>
              </w:rPr>
              <w:t xml:space="preserve">已</w:t>
            </w:r>
            <w:r>
              <w:rPr>
                <w:rFonts w:hint="eastAsia" w:ascii="宋体" w:hAnsi="宋体" w:eastAsia="宋体" w:cs="宋体"/>
                <w:bCs/>
                <w:color w:val="000000"/>
                <w:sz w:val="21"/>
                <w:szCs w:val="21"/>
                <w:highlight w:val="none"/>
              </w:rPr>
              <w:t xml:space="preserve">考虑对环境、交通等造成影响；已考虑特殊情况的影响及相关施工安排和措施；工期满足招标文件要求</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lang w:val="en-US" w:eastAsia="zh-CN"/>
              </w:rPr>
              <w:t xml:space="preserve">具</w:t>
            </w:r>
            <w:r>
              <w:rPr>
                <w:rFonts w:hint="eastAsia" w:ascii="宋体" w:hAnsi="宋体" w:eastAsia="宋体" w:cs="宋体"/>
                <w:bCs/>
                <w:color w:val="000000"/>
                <w:sz w:val="21"/>
                <w:szCs w:val="21"/>
                <w:highlight w:val="none"/>
              </w:rPr>
              <w:t xml:space="preserve">有阶段性目标计划等：</w:t>
            </w:r>
            <w:r>
              <w:rPr>
                <w:rFonts w:hint="eastAsia" w:ascii="宋体" w:hAnsi="宋体" w:eastAsia="宋体" w:cs="宋体"/>
                <w:bCs/>
                <w:color w:val="000000"/>
                <w:sz w:val="21"/>
                <w:szCs w:val="21"/>
                <w:highlight w:val="none"/>
              </w:rPr>
            </w:r>
            <w:r/>
          </w:p>
          <w:p>
            <w:pPr>
              <w:pStyle w:val="801"/>
              <w:keepLines w:val="0"/>
              <w:keepNext w:val="0"/>
              <w:pageBreakBefore w:val="0"/>
              <w:spacing w:line="264"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质量、进度、安全保证措施</w:t>
            </w:r>
            <w:r>
              <w:rPr>
                <w:rFonts w:hint="eastAsia" w:ascii="宋体" w:hAnsi="宋体" w:eastAsia="宋体" w:cs="宋体"/>
                <w:bCs/>
                <w:color w:val="000000"/>
                <w:sz w:val="21"/>
                <w:szCs w:val="21"/>
                <w:highlight w:val="none"/>
              </w:rPr>
              <w:t xml:space="preserve">证</w:t>
            </w:r>
            <w:r>
              <w:rPr>
                <w:rFonts w:hint="eastAsia" w:ascii="宋体" w:hAnsi="宋体" w:eastAsia="宋体" w:cs="宋体"/>
                <w:color w:val="000000"/>
                <w:sz w:val="21"/>
                <w:szCs w:val="21"/>
                <w:highlight w:val="none"/>
              </w:rPr>
              <w:t xml:space="preserve">逻辑清晰、全面、准确、有可操作性、内容完整且详实，同时有关键阶段和任务，无遗漏项，进度计划符合项目实际情况，包括资源、人力、时间等方面的合理性，进度计划具有弹性，能够应对项目变更或不可预见因素的</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801"/>
              <w:keepLines w:val="0"/>
              <w:keepNext w:val="0"/>
              <w:pageBreakBefore w:val="0"/>
              <w:spacing w:line="264" w:lineRule="auto"/>
              <w:widowControl w:val="off"/>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rPr>
              <w:t xml:space="preserve">优于项目需求的，</w:t>
            </w:r>
            <w:r>
              <w:rPr>
                <w:rFonts w:hint="eastAsia" w:ascii="宋体" w:hAnsi="宋体" w:eastAsia="宋体" w:cs="宋体"/>
                <w:color w:val="000000"/>
                <w:sz w:val="21"/>
                <w:szCs w:val="21"/>
                <w:highlight w:val="none"/>
              </w:rPr>
              <w:t xml:space="preserve">得9分；</w:t>
            </w:r>
            <w:r>
              <w:rPr>
                <w:rFonts w:hint="eastAsia" w:ascii="宋体" w:hAnsi="宋体" w:eastAsia="宋体" w:cs="宋体"/>
                <w:color w:val="000000"/>
                <w:sz w:val="21"/>
                <w:szCs w:val="21"/>
                <w:highlight w:val="none"/>
              </w:rPr>
            </w:r>
            <w:r/>
          </w:p>
          <w:p>
            <w:pPr>
              <w:pStyle w:val="801"/>
              <w:keepLines w:val="0"/>
              <w:keepNext w:val="0"/>
              <w:pageBreakBefore w:val="0"/>
              <w:spacing w:line="264" w:lineRule="auto"/>
              <w:widowControl w:val="off"/>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rPr>
              <w:t xml:space="preserve">符合项目需求的，得7分；</w:t>
            </w:r>
            <w:r>
              <w:rPr>
                <w:rFonts w:hint="eastAsia" w:ascii="宋体" w:hAnsi="宋体" w:eastAsia="宋体" w:cs="宋体"/>
                <w:color w:val="000000"/>
                <w:sz w:val="21"/>
                <w:szCs w:val="21"/>
                <w:highlight w:val="none"/>
              </w:rPr>
            </w:r>
            <w:r/>
          </w:p>
          <w:p>
            <w:pPr>
              <w:pStyle w:val="801"/>
              <w:keepLines w:val="0"/>
              <w:keepNext w:val="0"/>
              <w:pageBreakBefore w:val="0"/>
              <w:spacing w:line="264"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质量、进度、环保等措施不完善的，得5分；</w:t>
            </w:r>
            <w:r>
              <w:rPr>
                <w:rFonts w:hint="eastAsia" w:ascii="宋体" w:hAnsi="宋体" w:eastAsia="宋体" w:cs="宋体"/>
                <w:color w:val="000000"/>
                <w:sz w:val="21"/>
                <w:szCs w:val="21"/>
                <w:highlight w:val="none"/>
              </w:rPr>
            </w:r>
            <w:r/>
          </w:p>
          <w:p>
            <w:pPr>
              <w:pStyle w:val="801"/>
              <w:keepLines w:val="0"/>
              <w:keepNext w:val="0"/>
              <w:pageBreakBefore w:val="0"/>
              <w:spacing w:line="264" w:lineRule="auto"/>
              <w:widowControl w:val="off"/>
              <w:tabs>
                <w:tab w:val="left" w:pos="0" w:leader="none"/>
              </w:tabs>
              <w:rPr>
                <w:rFonts w:hint="eastAsia" w:ascii="宋体" w:hAnsi="宋体" w:eastAsia="宋体" w:cs="宋体"/>
                <w:b/>
                <w:color w:val="000000"/>
                <w:sz w:val="21"/>
                <w:szCs w:val="21"/>
                <w:highlight w:val="none"/>
              </w:rPr>
            </w:pPr>
            <w:r>
              <w:rPr>
                <w:rFonts w:hint="eastAsia" w:ascii="宋体" w:hAnsi="宋体" w:eastAsia="宋体" w:cs="宋体"/>
                <w:bCs/>
                <w:color w:val="000000"/>
                <w:sz w:val="21"/>
                <w:szCs w:val="21"/>
                <w:highlight w:val="none"/>
              </w:rPr>
              <w:t xml:space="preserve">不符合项目需求或未提供的不得分</w:t>
            </w:r>
            <w:r>
              <w:rPr>
                <w:rFonts w:hint="eastAsia" w:ascii="宋体" w:hAnsi="宋体" w:eastAsia="宋体" w:cs="宋体"/>
                <w:color w:val="000000"/>
                <w:sz w:val="21"/>
                <w:szCs w:val="21"/>
                <w:highlight w:val="none"/>
              </w:rPr>
              <w:t xml:space="preserve">。</w:t>
            </w:r>
            <w:r>
              <w:rPr>
                <w:rFonts w:hint="eastAsia" w:ascii="宋体" w:hAnsi="宋体" w:eastAsia="宋体" w:cs="宋体"/>
                <w:b/>
                <w:color w:val="000000"/>
                <w:sz w:val="21"/>
                <w:szCs w:val="21"/>
                <w:highlight w:val="none"/>
              </w:rPr>
            </w:r>
            <w:r/>
          </w:p>
        </w:tc>
      </w:tr>
    </w:tbl>
    <w:p>
      <w:pPr>
        <w:pStyle w:val="858"/>
        <w:ind w:firstLine="0"/>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说明：⑴评分分值及计算结果精确到小数点后二位，第三位四舍五入；</w:t>
      </w:r>
      <w:r>
        <w:rPr>
          <w:rFonts w:hint="eastAsia" w:ascii="宋体" w:hAnsi="宋体" w:eastAsia="宋体" w:cs="宋体"/>
          <w:b/>
          <w:bCs/>
          <w:color w:val="000000"/>
          <w:sz w:val="21"/>
          <w:szCs w:val="21"/>
          <w:highlight w:val="none"/>
        </w:rPr>
      </w:r>
      <w:r/>
    </w:p>
    <w:p>
      <w:pPr>
        <w:pStyle w:val="858"/>
        <w:ind w:firstLine="632"/>
        <w:jc w:val="both"/>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⑵评标时，评标委员会各成员应当独立对每个有效投标人的报价文件进行评价、打分，然后汇总每个投标人每项评分因素的得分，取各评标委员会各成员评分的算术平均数作为投标人的评标最后得分，并以此作为排序、推荐的基础。</w:t>
      </w:r>
      <w:r>
        <w:rPr>
          <w:rFonts w:hint="eastAsia" w:ascii="宋体" w:hAnsi="宋体" w:eastAsia="宋体" w:cs="宋体"/>
          <w:color w:val="000000"/>
          <w:sz w:val="21"/>
          <w:szCs w:val="21"/>
          <w:highlight w:val="none"/>
        </w:rPr>
      </w:r>
      <w:r/>
    </w:p>
    <w:p>
      <w:pPr>
        <w:pStyle w:val="858"/>
        <w:ind w:firstLine="0"/>
        <w:jc w:val="both"/>
        <w:keepLines w:val="0"/>
        <w:keepNext w:val="0"/>
        <w:pageBreakBefore w:val="0"/>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三、评标程序</w:t>
      </w:r>
      <w:r>
        <w:rPr>
          <w:rFonts w:hint="eastAsia" w:ascii="宋体" w:hAnsi="宋体" w:eastAsia="宋体" w:cs="宋体"/>
          <w:b/>
          <w:bCs/>
          <w:color w:val="000000"/>
          <w:sz w:val="24"/>
          <w:szCs w:val="24"/>
          <w:highlight w:val="none"/>
        </w:rPr>
      </w:r>
      <w:r/>
    </w:p>
    <w:p>
      <w:pPr>
        <w:pStyle w:val="858"/>
        <w:ind w:firstLine="420"/>
        <w:jc w:val="both"/>
        <w:keepLines w:val="0"/>
        <w:keepNext w:val="0"/>
        <w:pageBreakBefore w:val="0"/>
        <w:widowControl w:val="off"/>
        <w:rPr>
          <w:rFonts w:hint="eastAsia" w:ascii="宋体" w:hAnsi="宋体" w:eastAsia="宋体" w:cs="宋体"/>
          <w:color w:val="000000"/>
          <w:sz w:val="24"/>
          <w:szCs w:val="24"/>
          <w:highlight w:val="none"/>
        </w:rPr>
      </w:pPr>
      <w:r/>
      <w:bookmarkStart w:id="122" w:name="_Toc9333235"/>
      <w:r>
        <w:rPr>
          <w:rFonts w:hint="eastAsia" w:ascii="宋体" w:hAnsi="宋体" w:eastAsia="宋体" w:cs="宋体"/>
          <w:color w:val="000000"/>
          <w:sz w:val="24"/>
          <w:szCs w:val="24"/>
          <w:highlight w:val="none"/>
        </w:rPr>
        <w:t xml:space="preserve">1、资格审查及符合性审查</w:t>
      </w:r>
      <w:bookmarkEnd w:id="122"/>
      <w:r>
        <w:rPr>
          <w:rFonts w:hint="eastAsia" w:ascii="宋体" w:hAnsi="宋体" w:eastAsia="宋体" w:cs="宋体"/>
          <w:color w:val="000000"/>
          <w:sz w:val="24"/>
          <w:szCs w:val="24"/>
          <w:highlight w:val="none"/>
        </w:rPr>
      </w:r>
      <w:r/>
    </w:p>
    <w:p>
      <w:pPr>
        <w:pStyle w:val="858"/>
        <w:ind w:firstLine="420"/>
        <w:jc w:val="both"/>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 招标人或招标代理机构按附表一所列审查标准，对投标人资格进行审查，以确定投标人是否具备投标资格。</w:t>
      </w:r>
      <w:r>
        <w:rPr>
          <w:rFonts w:hint="eastAsia" w:ascii="宋体" w:hAnsi="宋体" w:eastAsia="宋体" w:cs="宋体"/>
          <w:color w:val="000000"/>
          <w:sz w:val="24"/>
          <w:szCs w:val="24"/>
          <w:highlight w:val="none"/>
        </w:rPr>
      </w:r>
      <w:r/>
    </w:p>
    <w:p>
      <w:pPr>
        <w:pStyle w:val="858"/>
        <w:ind w:firstLine="420"/>
        <w:jc w:val="both"/>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 评标委员会对符合资格要求的投标人按附表二进行符合性审查，以确定其是否满足招标文件的实质性要求。</w:t>
      </w:r>
      <w:r>
        <w:rPr>
          <w:rFonts w:hint="eastAsia" w:ascii="宋体" w:hAnsi="宋体" w:eastAsia="宋体" w:cs="宋体"/>
          <w:color w:val="000000"/>
          <w:sz w:val="24"/>
          <w:szCs w:val="24"/>
          <w:highlight w:val="none"/>
        </w:rPr>
      </w:r>
      <w:r/>
    </w:p>
    <w:p>
      <w:pPr>
        <w:pStyle w:val="858"/>
        <w:ind w:firstLine="420"/>
        <w:jc w:val="both"/>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1.2.1评标委员会在资格审查和符合性审查时，可以要求投标人对投标文件中含义不明确、同类问题表述不一致或者有明显文字和计算错误的内容作出必要的澄清、说明或更正。投标人的澄清、说明或更正不得超出投标文件的范围或者改变投标文件的实质性内容。</w:t>
      </w:r>
      <w:r>
        <w:rPr>
          <w:rFonts w:hint="eastAsia" w:ascii="宋体" w:hAnsi="宋体" w:eastAsia="宋体" w:cs="宋体"/>
          <w:color w:val="000000"/>
          <w:sz w:val="24"/>
          <w:szCs w:val="24"/>
          <w:highlight w:val="none"/>
        </w:rPr>
      </w:r>
      <w:r/>
    </w:p>
    <w:p>
      <w:pPr>
        <w:pStyle w:val="858"/>
        <w:ind w:firstLine="420"/>
        <w:jc w:val="both"/>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评标委员会不接受投标人主动提出的澄清、说明或补正。</w:t>
      </w:r>
      <w:r>
        <w:rPr>
          <w:rFonts w:hint="eastAsia" w:ascii="宋体" w:hAnsi="宋体" w:eastAsia="宋体" w:cs="宋体"/>
          <w:color w:val="000000"/>
          <w:sz w:val="24"/>
          <w:szCs w:val="24"/>
          <w:highlight w:val="none"/>
        </w:rPr>
      </w:r>
      <w:r/>
    </w:p>
    <w:p>
      <w:pPr>
        <w:pStyle w:val="858"/>
        <w:ind w:firstLine="420"/>
        <w:jc w:val="both"/>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投标人的书面澄清、说明和补正属于投标文件的组成部分。</w:t>
      </w:r>
      <w:r>
        <w:rPr>
          <w:rFonts w:hint="eastAsia" w:ascii="宋体" w:hAnsi="宋体" w:eastAsia="宋体" w:cs="宋体"/>
          <w:color w:val="000000"/>
          <w:sz w:val="24"/>
          <w:szCs w:val="24"/>
          <w:highlight w:val="none"/>
        </w:rPr>
      </w:r>
      <w:r/>
    </w:p>
    <w:p>
      <w:pPr>
        <w:pStyle w:val="858"/>
        <w:ind w:firstLine="420"/>
        <w:jc w:val="both"/>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评标委员会对投标人提交的澄清、说明或补正有疑问的，可以要求投标人进一步澄清、说明或补正，直至满足评标小组的要求。</w:t>
      </w:r>
      <w:r>
        <w:rPr>
          <w:rFonts w:hint="eastAsia" w:ascii="宋体" w:hAnsi="宋体" w:eastAsia="宋体" w:cs="宋体"/>
          <w:color w:val="000000"/>
          <w:sz w:val="24"/>
          <w:szCs w:val="24"/>
          <w:highlight w:val="none"/>
        </w:rPr>
      </w:r>
      <w:r/>
    </w:p>
    <w:p>
      <w:pPr>
        <w:pStyle w:val="858"/>
        <w:ind w:firstLine="420"/>
        <w:jc w:val="both"/>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1.2.2投标文件报价出现前后不一致的，除招标文件另有规定外，按照下列规定修正：</w:t>
      </w:r>
      <w:r>
        <w:rPr>
          <w:rFonts w:hint="eastAsia" w:ascii="宋体" w:hAnsi="宋体" w:eastAsia="宋体" w:cs="宋体"/>
          <w:color w:val="000000"/>
          <w:sz w:val="24"/>
          <w:szCs w:val="24"/>
          <w:highlight w:val="none"/>
        </w:rPr>
      </w:r>
      <w:r/>
    </w:p>
    <w:p>
      <w:pPr>
        <w:pStyle w:val="858"/>
        <w:ind w:firstLine="420"/>
        <w:jc w:val="both"/>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⑴投标文件中的大写金额与小写金额不一致的，以大写金额为准（工程量清单中的投标报价和投标函报价不一致的除外，但不包括元单位以下数值不一致的情况）； </w:t>
      </w:r>
      <w:r>
        <w:rPr>
          <w:rFonts w:hint="eastAsia" w:ascii="宋体" w:hAnsi="宋体" w:eastAsia="宋体" w:cs="宋体"/>
          <w:color w:val="000000"/>
          <w:sz w:val="24"/>
          <w:szCs w:val="24"/>
          <w:highlight w:val="none"/>
        </w:rPr>
      </w:r>
      <w:r/>
    </w:p>
    <w:p>
      <w:pPr>
        <w:pStyle w:val="858"/>
        <w:ind w:firstLine="420"/>
        <w:jc w:val="both"/>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⑵总价金额与依据单价计算出的结果不一致的，以单价金额为准修正总价，但单价金额小数点有明显错误、四舍五入原因的除外；</w:t>
      </w:r>
      <w:r>
        <w:rPr>
          <w:rFonts w:hint="eastAsia" w:ascii="宋体" w:hAnsi="宋体" w:eastAsia="宋体" w:cs="宋体"/>
          <w:color w:val="000000"/>
          <w:sz w:val="24"/>
          <w:szCs w:val="24"/>
          <w:highlight w:val="none"/>
        </w:rPr>
      </w:r>
      <w:r/>
    </w:p>
    <w:p>
      <w:pPr>
        <w:pStyle w:val="858"/>
        <w:ind w:firstLine="420"/>
        <w:jc w:val="both"/>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同时出现两种不一致的，按照前款规定的顺序修正。修正后的报价经投标人确认后产生约束力。投标人拒绝接受修正的，将作无效投标文件处理。</w:t>
      </w:r>
      <w:r>
        <w:rPr>
          <w:rFonts w:hint="eastAsia" w:ascii="宋体" w:hAnsi="宋体" w:eastAsia="宋体" w:cs="宋体"/>
          <w:color w:val="000000"/>
          <w:sz w:val="24"/>
          <w:szCs w:val="24"/>
          <w:highlight w:val="none"/>
        </w:rPr>
      </w:r>
      <w:r/>
    </w:p>
    <w:p>
      <w:pPr>
        <w:pStyle w:val="858"/>
        <w:ind w:firstLine="420"/>
        <w:jc w:val="both"/>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1.3不具备招标文件要求的资格或未通过符合性审查的投标人，不参与评标，由评标委员会告知该投标人。</w:t>
      </w:r>
      <w:r>
        <w:rPr>
          <w:rFonts w:hint="eastAsia" w:ascii="宋体" w:hAnsi="宋体" w:eastAsia="宋体" w:cs="宋体"/>
          <w:color w:val="000000"/>
          <w:sz w:val="24"/>
          <w:szCs w:val="24"/>
          <w:highlight w:val="none"/>
        </w:rPr>
      </w:r>
      <w:r/>
    </w:p>
    <w:p>
      <w:pPr>
        <w:pStyle w:val="858"/>
        <w:ind w:firstLine="420"/>
        <w:jc w:val="both"/>
        <w:keepLines w:val="0"/>
        <w:keepNext w:val="0"/>
        <w:pageBreakBefore w:val="0"/>
        <w:widowControl w:val="off"/>
        <w:rPr>
          <w:rFonts w:hint="eastAsia" w:ascii="宋体" w:hAnsi="宋体" w:eastAsia="宋体" w:cs="宋体"/>
          <w:color w:val="000000"/>
          <w:sz w:val="24"/>
          <w:szCs w:val="24"/>
          <w:highlight w:val="none"/>
        </w:rPr>
      </w:pPr>
      <w:r/>
      <w:bookmarkStart w:id="123" w:name="_Toc9333237"/>
      <w:r>
        <w:rPr>
          <w:rFonts w:hint="eastAsia" w:ascii="宋体" w:hAnsi="宋体" w:eastAsia="宋体" w:cs="宋体"/>
          <w:color w:val="000000"/>
          <w:sz w:val="24"/>
          <w:szCs w:val="24"/>
          <w:highlight w:val="none"/>
        </w:rPr>
        <w:t xml:space="preserve">2、</w:t>
      </w:r>
      <w:bookmarkEnd w:id="123"/>
      <w:r>
        <w:rPr>
          <w:rFonts w:hint="eastAsia" w:ascii="宋体" w:hAnsi="宋体" w:eastAsia="宋体" w:cs="宋体"/>
          <w:color w:val="000000"/>
          <w:sz w:val="24"/>
          <w:szCs w:val="24"/>
          <w:highlight w:val="none"/>
        </w:rPr>
        <w:t xml:space="preserve">评标</w:t>
      </w:r>
      <w:r>
        <w:rPr>
          <w:rFonts w:hint="eastAsia" w:ascii="宋体" w:hAnsi="宋体" w:eastAsia="宋体" w:cs="宋体"/>
          <w:color w:val="000000"/>
          <w:sz w:val="24"/>
          <w:szCs w:val="24"/>
          <w:highlight w:val="none"/>
        </w:rPr>
      </w:r>
      <w:r/>
    </w:p>
    <w:p>
      <w:pPr>
        <w:pStyle w:val="858"/>
        <w:ind w:firstLine="420"/>
        <w:jc w:val="both"/>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评标委员会对资格审查合格且符合性审查合格的投标文件进行商务和技术评估，综合比较与评价。</w:t>
      </w:r>
      <w:r>
        <w:rPr>
          <w:rFonts w:hint="eastAsia" w:ascii="宋体" w:hAnsi="宋体" w:eastAsia="宋体" w:cs="宋体"/>
          <w:color w:val="000000"/>
          <w:sz w:val="24"/>
          <w:szCs w:val="24"/>
          <w:highlight w:val="none"/>
        </w:rPr>
      </w:r>
      <w:r/>
    </w:p>
    <w:p>
      <w:pPr>
        <w:pStyle w:val="858"/>
        <w:ind w:firstLine="420"/>
        <w:jc w:val="both"/>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标委员会认为投标人的报价明显低于其他通过符合性审查投标人的报价，有可能影响工程质量或者不能诚信履约的，应当要求其在评标现场合理的时间内提供书面说明，必要时提交相关证明材料；投标人不能证明其报价合理性的，评标委员会应当将其作为无效投标处理。</w:t>
      </w:r>
      <w:r>
        <w:rPr>
          <w:rFonts w:hint="eastAsia" w:ascii="宋体" w:hAnsi="宋体" w:eastAsia="宋体" w:cs="宋体"/>
          <w:color w:val="000000"/>
          <w:sz w:val="24"/>
          <w:szCs w:val="24"/>
          <w:highlight w:val="none"/>
        </w:rPr>
      </w:r>
      <w:r/>
    </w:p>
    <w:p>
      <w:pPr>
        <w:pStyle w:val="858"/>
        <w:ind w:firstLine="420"/>
        <w:jc w:val="both"/>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 投标人得分＝价格部分得分+技术方案得分+商务部分得分。</w:t>
      </w:r>
      <w:r>
        <w:rPr>
          <w:rFonts w:hint="eastAsia" w:ascii="宋体" w:hAnsi="宋体" w:eastAsia="宋体" w:cs="宋体"/>
          <w:color w:val="000000"/>
          <w:sz w:val="24"/>
          <w:szCs w:val="24"/>
          <w:highlight w:val="none"/>
        </w:rPr>
      </w:r>
      <w:r/>
    </w:p>
    <w:p>
      <w:pPr>
        <w:pStyle w:val="858"/>
        <w:ind w:firstLine="420"/>
        <w:jc w:val="both"/>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 评标结果</w:t>
      </w:r>
      <w:r>
        <w:rPr>
          <w:rFonts w:hint="eastAsia" w:ascii="宋体" w:hAnsi="宋体" w:eastAsia="宋体" w:cs="宋体"/>
          <w:color w:val="000000"/>
          <w:sz w:val="24"/>
          <w:szCs w:val="24"/>
          <w:highlight w:val="none"/>
        </w:rPr>
      </w:r>
      <w:r/>
    </w:p>
    <w:p>
      <w:pPr>
        <w:pStyle w:val="858"/>
        <w:ind w:firstLine="420"/>
        <w:jc w:val="both"/>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除第二章“投标人须知”前附表授权直接确定中标人外，评标委员会按照得分由高到低的顺序推荐不超过3名中标候选人。</w:t>
      </w:r>
      <w:r>
        <w:rPr>
          <w:rFonts w:hint="eastAsia" w:ascii="宋体" w:hAnsi="宋体" w:eastAsia="宋体" w:cs="宋体"/>
          <w:color w:val="000000"/>
          <w:sz w:val="24"/>
          <w:szCs w:val="24"/>
          <w:highlight w:val="none"/>
        </w:rPr>
      </w:r>
      <w:r/>
    </w:p>
    <w:p>
      <w:pPr>
        <w:pStyle w:val="801"/>
        <w:ind w:firstLine="480"/>
        <w:jc w:val="both"/>
        <w:keepLines w:val="0"/>
        <w:keepNext w:val="0"/>
        <w:pageBreakBefore w:val="0"/>
        <w:widowControl w:val="off"/>
        <w:tabs>
          <w:tab w:val="left" w:pos="-94" w:leader="none"/>
          <w:tab w:val="left" w:pos="428"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评标委员会完成评标后，应当向招标人提交书面评标报告。</w:t>
      </w:r>
      <w:r>
        <w:rPr>
          <w:rFonts w:hint="eastAsia" w:ascii="宋体" w:hAnsi="宋体" w:eastAsia="宋体" w:cs="宋体"/>
          <w:color w:val="000000"/>
          <w:sz w:val="24"/>
          <w:szCs w:val="24"/>
          <w:highlight w:val="none"/>
        </w:rPr>
      </w:r>
      <w:r/>
    </w:p>
    <w:p>
      <w:pPr>
        <w:pStyle w:val="801"/>
        <w:tabs>
          <w:tab w:val="left" w:pos="-94" w:leader="none"/>
          <w:tab w:val="left" w:pos="428" w:leader="none"/>
        </w:tabs>
        <w:rPr>
          <w:rFonts w:hint="eastAsia" w:ascii="宋体" w:hAnsi="宋体" w:eastAsia="宋体" w:cs="宋体"/>
          <w:b/>
          <w:color w:val="000000"/>
          <w:sz w:val="24"/>
          <w:szCs w:val="24"/>
          <w:highlight w:val="none"/>
        </w:rPr>
        <w:outlineLvl w:val="1"/>
      </w:pPr>
      <w:r/>
      <w:bookmarkStart w:id="124" w:name="_Toc14519"/>
      <w:r/>
      <w:bookmarkStart w:id="125" w:name="_Toc22058"/>
      <w:r/>
      <w:bookmarkStart w:id="126" w:name="_Toc211090860"/>
      <w:r/>
      <w:bookmarkStart w:id="127" w:name="_Toc15628"/>
      <w:r/>
      <w:bookmarkStart w:id="128" w:name="_Toc30618"/>
      <w:r/>
      <w:bookmarkStart w:id="129" w:name="_Toc2037"/>
      <w:r/>
      <w:bookmarkStart w:id="130" w:name="_Toc9333238"/>
      <w:r>
        <w:rPr>
          <w:rFonts w:hint="eastAsia" w:ascii="宋体" w:hAnsi="宋体" w:eastAsia="宋体" w:cs="宋体"/>
          <w:b/>
          <w:color w:val="000000"/>
          <w:sz w:val="24"/>
          <w:szCs w:val="24"/>
          <w:highlight w:val="none"/>
        </w:rPr>
        <w:t xml:space="preserve">附表一 资格审查表</w:t>
      </w:r>
      <w:bookmarkEnd w:id="124"/>
      <w:r/>
      <w:bookmarkEnd w:id="125"/>
      <w:r/>
      <w:bookmarkEnd w:id="126"/>
      <w:r/>
      <w:bookmarkEnd w:id="127"/>
      <w:r/>
      <w:bookmarkEnd w:id="128"/>
      <w:r/>
      <w:bookmarkEnd w:id="129"/>
      <w:r/>
      <w:bookmarkEnd w:id="130"/>
      <w:r>
        <w:rPr>
          <w:rFonts w:hint="eastAsia" w:ascii="宋体" w:hAnsi="宋体" w:eastAsia="宋体" w:cs="宋体"/>
          <w:b/>
          <w:color w:val="000000"/>
          <w:sz w:val="24"/>
          <w:szCs w:val="24"/>
          <w:highlight w:val="none"/>
        </w:rPr>
      </w:r>
      <w:r/>
    </w:p>
    <w:tbl>
      <w:tblPr>
        <w:tblW w:w="4863"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32"/>
        <w:gridCol w:w="3079"/>
        <w:gridCol w:w="4630"/>
        <w:gridCol w:w="893"/>
      </w:tblGrid>
      <w:tr>
        <w:trPr>
          <w:trHeight w:val="549"/>
        </w:trPr>
        <w:tc>
          <w:tcPr>
            <w:tcW w:w="239" w:type="dxa"/>
            <w:vAlign w:val="center"/>
            <w:textDirection w:val="lrTb"/>
            <w:noWrap w:val="false"/>
          </w:tcPr>
          <w:p>
            <w:pPr>
              <w:pStyle w:val="801"/>
              <w:jc w:val="center"/>
              <w:spacing w:line="38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序号</w:t>
            </w:r>
            <w:r>
              <w:rPr>
                <w:rFonts w:hint="eastAsia" w:ascii="宋体" w:hAnsi="宋体" w:eastAsia="宋体" w:cs="宋体"/>
                <w:b/>
                <w:color w:val="000000"/>
                <w:sz w:val="21"/>
                <w:szCs w:val="21"/>
                <w:highlight w:val="none"/>
              </w:rPr>
            </w:r>
            <w:r/>
          </w:p>
        </w:tc>
        <w:tc>
          <w:tcPr>
            <w:tcW w:w="1704" w:type="dxa"/>
            <w:vAlign w:val="center"/>
            <w:textDirection w:val="lrTb"/>
            <w:noWrap w:val="false"/>
          </w:tcPr>
          <w:p>
            <w:pPr>
              <w:pStyle w:val="801"/>
              <w:ind w:left="-609" w:right="-527" w:firstLine="611"/>
              <w:jc w:val="center"/>
              <w:spacing w:line="38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评标内容</w:t>
            </w:r>
            <w:r>
              <w:rPr>
                <w:rFonts w:hint="eastAsia" w:ascii="宋体" w:hAnsi="宋体" w:eastAsia="宋体" w:cs="宋体"/>
                <w:b/>
                <w:color w:val="000000"/>
                <w:sz w:val="21"/>
                <w:szCs w:val="21"/>
                <w:highlight w:val="none"/>
              </w:rPr>
            </w:r>
            <w:r/>
          </w:p>
        </w:tc>
        <w:tc>
          <w:tcPr>
            <w:tcW w:w="2561" w:type="dxa"/>
            <w:vAlign w:val="center"/>
            <w:textDirection w:val="lrTb"/>
            <w:noWrap w:val="false"/>
          </w:tcPr>
          <w:p>
            <w:pPr>
              <w:pStyle w:val="801"/>
              <w:jc w:val="center"/>
              <w:spacing w:line="38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评标合格标准</w:t>
            </w:r>
            <w:r>
              <w:rPr>
                <w:rFonts w:hint="eastAsia" w:ascii="宋体" w:hAnsi="宋体" w:eastAsia="宋体" w:cs="宋体"/>
                <w:b/>
                <w:color w:val="000000"/>
                <w:sz w:val="21"/>
                <w:szCs w:val="21"/>
                <w:highlight w:val="none"/>
              </w:rPr>
            </w:r>
            <w:r/>
          </w:p>
        </w:tc>
        <w:tc>
          <w:tcPr>
            <w:tcW w:w="494" w:type="dxa"/>
            <w:vAlign w:val="center"/>
            <w:textDirection w:val="lrTb"/>
            <w:noWrap w:val="false"/>
          </w:tcPr>
          <w:p>
            <w:pPr>
              <w:pStyle w:val="801"/>
              <w:jc w:val="center"/>
              <w:spacing w:line="38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是否符合要求</w:t>
            </w:r>
            <w:r>
              <w:rPr>
                <w:rFonts w:hint="eastAsia" w:ascii="宋体" w:hAnsi="宋体" w:eastAsia="宋体" w:cs="宋体"/>
                <w:b/>
                <w:color w:val="000000"/>
                <w:sz w:val="21"/>
                <w:szCs w:val="21"/>
                <w:highlight w:val="none"/>
              </w:rPr>
            </w:r>
            <w:r/>
          </w:p>
        </w:tc>
      </w:tr>
      <w:tr>
        <w:trPr>
          <w:trHeight w:val="549"/>
        </w:trPr>
        <w:tc>
          <w:tcPr>
            <w:tcW w:w="239" w:type="dxa"/>
            <w:vAlign w:val="center"/>
            <w:textDirection w:val="lrTb"/>
            <w:noWrap w:val="false"/>
          </w:tcPr>
          <w:p>
            <w:pPr>
              <w:pStyle w:val="801"/>
              <w:jc w:val="center"/>
              <w:spacing w:line="380" w:lineRule="exact"/>
              <w:rPr>
                <w:rFonts w:hint="eastAsia" w:ascii="宋体" w:hAnsi="宋体" w:eastAsia="宋体" w:cs="宋体"/>
                <w:b/>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b/>
                <w:color w:val="000000"/>
                <w:sz w:val="21"/>
                <w:szCs w:val="21"/>
                <w:highlight w:val="none"/>
              </w:rPr>
            </w:r>
            <w:r/>
          </w:p>
        </w:tc>
        <w:tc>
          <w:tcPr>
            <w:tcW w:w="1704" w:type="dxa"/>
            <w:vAlign w:val="center"/>
            <w:textDirection w:val="lrTb"/>
            <w:noWrap w:val="false"/>
          </w:tcPr>
          <w:p>
            <w:pPr>
              <w:pStyle w:val="801"/>
              <w:spacing w:line="380" w:lineRule="exact"/>
              <w:rPr>
                <w:rFonts w:hint="eastAsia" w:ascii="宋体" w:hAnsi="宋体" w:eastAsia="宋体" w:cs="宋体"/>
                <w:b/>
                <w:color w:val="000000"/>
                <w:sz w:val="21"/>
                <w:szCs w:val="21"/>
                <w:highlight w:val="none"/>
              </w:rPr>
            </w:pPr>
            <w:r>
              <w:rPr>
                <w:rFonts w:hint="eastAsia" w:ascii="宋体" w:hAnsi="宋体" w:eastAsia="宋体" w:cs="宋体"/>
                <w:color w:val="000000"/>
                <w:sz w:val="21"/>
                <w:szCs w:val="21"/>
                <w:highlight w:val="none"/>
              </w:rPr>
              <w:t xml:space="preserve">投标人名称</w:t>
            </w:r>
            <w:r>
              <w:rPr>
                <w:rFonts w:hint="eastAsia" w:ascii="宋体" w:hAnsi="宋体" w:eastAsia="宋体" w:cs="宋体"/>
                <w:b/>
                <w:color w:val="000000"/>
                <w:sz w:val="21"/>
                <w:szCs w:val="21"/>
                <w:highlight w:val="none"/>
              </w:rPr>
            </w:r>
            <w:r/>
          </w:p>
        </w:tc>
        <w:tc>
          <w:tcPr>
            <w:tcW w:w="2561" w:type="dxa"/>
            <w:vAlign w:val="center"/>
            <w:textDirection w:val="lrTb"/>
            <w:noWrap w:val="false"/>
          </w:tcPr>
          <w:p>
            <w:pPr>
              <w:pStyle w:val="801"/>
              <w:spacing w:line="380" w:lineRule="exact"/>
              <w:rPr>
                <w:rFonts w:ascii="宋体" w:hAnsi="宋体" w:eastAsia="宋体" w:cs="宋体"/>
                <w:b/>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与投标报名、营业执照一致（符合法定工商变更程序除外）。提供营业执照</w:t>
            </w:r>
            <w:r>
              <w:rPr>
                <w:rFonts w:hint="eastAsia" w:ascii="宋体" w:hAnsi="宋体" w:eastAsia="宋体" w:cs="宋体"/>
                <w:color w:val="000000"/>
                <w:sz w:val="21"/>
                <w:szCs w:val="21"/>
                <w:highlight w:val="none"/>
              </w:rPr>
              <w:t xml:space="preserve">扫描件加盖CA电子签章</w:t>
            </w:r>
            <w:r>
              <w:rPr>
                <w:rFonts w:ascii="宋体" w:hAnsi="宋体" w:eastAsia="宋体" w:cs="宋体"/>
                <w:b/>
                <w:color w:val="000000"/>
                <w:sz w:val="21"/>
                <w:szCs w:val="21"/>
                <w:highlight w:val="none"/>
                <w:lang w:val="en-US" w:eastAsia="zh-CN"/>
              </w:rPr>
            </w:r>
            <w:r/>
          </w:p>
        </w:tc>
        <w:tc>
          <w:tcPr>
            <w:tcW w:w="494" w:type="dxa"/>
            <w:vAlign w:val="center"/>
            <w:textDirection w:val="lrTb"/>
            <w:noWrap w:val="false"/>
          </w:tcPr>
          <w:p>
            <w:pPr>
              <w:pStyle w:val="801"/>
              <w:spacing w:line="38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r>
      <w:tr>
        <w:trPr>
          <w:trHeight w:val="549"/>
        </w:trPr>
        <w:tc>
          <w:tcPr>
            <w:tcW w:w="239" w:type="dxa"/>
            <w:vAlign w:val="center"/>
            <w:textDirection w:val="lrTb"/>
            <w:noWrap w:val="false"/>
          </w:tcPr>
          <w:p>
            <w:pPr>
              <w:pStyle w:val="801"/>
              <w:jc w:val="center"/>
              <w:spacing w:line="3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c>
          <w:tcPr>
            <w:tcW w:w="1704" w:type="dxa"/>
            <w:vAlign w:val="center"/>
            <w:textDirection w:val="lrTb"/>
            <w:noWrap w:val="false"/>
          </w:tcPr>
          <w:p>
            <w:pPr>
              <w:pStyle w:val="801"/>
              <w:spacing w:line="3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具有独立承担民事责任的能力</w:t>
            </w:r>
            <w:r>
              <w:rPr>
                <w:rFonts w:hint="eastAsia" w:ascii="宋体" w:hAnsi="宋体" w:eastAsia="宋体" w:cs="宋体"/>
                <w:color w:val="000000"/>
                <w:sz w:val="21"/>
                <w:szCs w:val="21"/>
                <w:highlight w:val="none"/>
              </w:rPr>
            </w:r>
            <w:r/>
          </w:p>
        </w:tc>
        <w:tc>
          <w:tcPr>
            <w:tcW w:w="2561" w:type="dxa"/>
            <w:vAlign w:val="center"/>
            <w:vMerge w:val="restart"/>
            <w:textDirection w:val="lrTb"/>
            <w:noWrap w:val="false"/>
          </w:tcPr>
          <w:p>
            <w:pPr>
              <w:pStyle w:val="801"/>
              <w:spacing w:line="38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zh-CN"/>
              </w:rPr>
              <w:t xml:space="preserve">提供</w:t>
            </w:r>
            <w:r>
              <w:rPr>
                <w:rFonts w:hint="eastAsia" w:ascii="宋体" w:hAnsi="宋体" w:eastAsia="宋体" w:cs="宋体"/>
                <w:color w:val="000000"/>
                <w:sz w:val="21"/>
                <w:szCs w:val="21"/>
                <w:highlight w:val="none"/>
                <w:lang w:val="en-US" w:eastAsia="zh-CN"/>
              </w:rPr>
              <w:t xml:space="preserve">承诺书</w:t>
            </w:r>
            <w:r>
              <w:rPr>
                <w:rFonts w:hint="eastAsia" w:ascii="宋体" w:hAnsi="宋体" w:eastAsia="宋体" w:cs="宋体"/>
                <w:color w:val="000000"/>
                <w:sz w:val="21"/>
                <w:szCs w:val="21"/>
                <w:highlight w:val="none"/>
                <w:lang w:val="zh-CN"/>
              </w:rPr>
              <w:t xml:space="preserve">并加盖投标人CA电子签章，</w:t>
            </w:r>
            <w:r>
              <w:rPr>
                <w:rFonts w:hint="eastAsia" w:ascii="宋体" w:hAnsi="宋体" w:eastAsia="宋体" w:cs="宋体"/>
                <w:color w:val="000000"/>
                <w:sz w:val="21"/>
                <w:szCs w:val="21"/>
                <w:highlight w:val="none"/>
                <w:lang w:val="en-US" w:eastAsia="zh-CN"/>
              </w:rPr>
              <w:t xml:space="preserve">并附</w:t>
            </w:r>
            <w:r>
              <w:rPr>
                <w:rFonts w:hint="eastAsia" w:ascii="宋体" w:hAnsi="宋体" w:eastAsia="宋体" w:cs="宋体"/>
                <w:color w:val="000000"/>
                <w:sz w:val="21"/>
                <w:szCs w:val="21"/>
                <w:highlight w:val="none"/>
              </w:rPr>
              <w:t xml:space="preserve">信用中国”网站和中国政府采购网查询记录</w:t>
            </w:r>
            <w:r>
              <w:rPr>
                <w:rFonts w:hint="eastAsia" w:ascii="宋体" w:hAnsi="宋体" w:eastAsia="宋体" w:cs="宋体"/>
                <w:color w:val="000000"/>
                <w:sz w:val="21"/>
                <w:szCs w:val="21"/>
                <w:highlight w:val="none"/>
                <w:lang w:val="en-US" w:eastAsia="zh-CN"/>
              </w:rPr>
              <w:t xml:space="preserve">截图</w:t>
            </w:r>
            <w:r>
              <w:rPr>
                <w:rFonts w:hint="eastAsia" w:ascii="宋体" w:hAnsi="宋体" w:eastAsia="宋体" w:cs="宋体"/>
                <w:color w:val="000000"/>
                <w:sz w:val="21"/>
                <w:szCs w:val="21"/>
                <w:highlight w:val="none"/>
                <w:lang w:val="en-US" w:eastAsia="zh-CN"/>
              </w:rPr>
            </w:r>
            <w:r/>
          </w:p>
        </w:tc>
        <w:tc>
          <w:tcPr>
            <w:tcW w:w="494" w:type="dxa"/>
            <w:vAlign w:val="center"/>
            <w:vMerge w:val="restart"/>
            <w:textDirection w:val="lrTb"/>
            <w:noWrap w:val="false"/>
          </w:tcPr>
          <w:p>
            <w:pPr>
              <w:pStyle w:val="801"/>
              <w:spacing w:line="3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49"/>
        </w:trPr>
        <w:tc>
          <w:tcPr>
            <w:tcW w:w="239" w:type="dxa"/>
            <w:vAlign w:val="center"/>
            <w:textDirection w:val="lrTb"/>
            <w:noWrap w:val="false"/>
          </w:tcPr>
          <w:p>
            <w:pPr>
              <w:pStyle w:val="801"/>
              <w:jc w:val="center"/>
              <w:spacing w:line="3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rPr>
            </w:r>
            <w:r/>
          </w:p>
        </w:tc>
        <w:tc>
          <w:tcPr>
            <w:tcW w:w="1704" w:type="dxa"/>
            <w:vAlign w:val="center"/>
            <w:textDirection w:val="lrTb"/>
            <w:noWrap w:val="false"/>
          </w:tcPr>
          <w:p>
            <w:pPr>
              <w:pStyle w:val="801"/>
              <w:spacing w:line="3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具有健全的财务会计制度</w:t>
            </w:r>
            <w:r>
              <w:rPr>
                <w:rFonts w:hint="eastAsia" w:ascii="宋体" w:hAnsi="宋体" w:eastAsia="宋体" w:cs="宋体"/>
                <w:color w:val="000000"/>
                <w:sz w:val="21"/>
                <w:szCs w:val="21"/>
                <w:highlight w:val="none"/>
              </w:rPr>
            </w:r>
            <w:r/>
          </w:p>
        </w:tc>
        <w:tc>
          <w:tcPr>
            <w:tcW w:w="2561" w:type="dxa"/>
            <w:vAlign w:val="center"/>
            <w:vMerge w:val="continue"/>
            <w:textDirection w:val="lrTb"/>
            <w:noWrap w:val="false"/>
          </w:tcPr>
          <w:p>
            <w:pPr>
              <w:pStyle w:val="801"/>
              <w:spacing w:line="3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494" w:type="dxa"/>
            <w:vAlign w:val="center"/>
            <w:vMerge w:val="continue"/>
            <w:textDirection w:val="lrTb"/>
            <w:noWrap w:val="false"/>
          </w:tcPr>
          <w:p>
            <w:pPr>
              <w:pStyle w:val="801"/>
              <w:spacing w:line="3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49"/>
        </w:trPr>
        <w:tc>
          <w:tcPr>
            <w:tcW w:w="239" w:type="dxa"/>
            <w:vAlign w:val="center"/>
            <w:textDirection w:val="lrTb"/>
            <w:noWrap w:val="false"/>
          </w:tcPr>
          <w:p>
            <w:pPr>
              <w:pStyle w:val="801"/>
              <w:jc w:val="center"/>
              <w:spacing w:line="3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rPr>
            </w:r>
            <w:r/>
          </w:p>
        </w:tc>
        <w:tc>
          <w:tcPr>
            <w:tcW w:w="1704" w:type="dxa"/>
            <w:vAlign w:val="center"/>
            <w:textDirection w:val="lrTb"/>
            <w:noWrap w:val="false"/>
          </w:tcPr>
          <w:p>
            <w:pPr>
              <w:pStyle w:val="801"/>
              <w:spacing w:line="3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具有履行合同所必需的设备和专业技术能力</w:t>
            </w:r>
            <w:r>
              <w:rPr>
                <w:rFonts w:hint="eastAsia" w:ascii="宋体" w:hAnsi="宋体" w:eastAsia="宋体" w:cs="宋体"/>
                <w:color w:val="000000"/>
                <w:sz w:val="21"/>
                <w:szCs w:val="21"/>
                <w:highlight w:val="none"/>
              </w:rPr>
            </w:r>
            <w:r/>
          </w:p>
        </w:tc>
        <w:tc>
          <w:tcPr>
            <w:tcW w:w="2561" w:type="dxa"/>
            <w:vAlign w:val="center"/>
            <w:vMerge w:val="continue"/>
            <w:textDirection w:val="lrTb"/>
            <w:noWrap w:val="false"/>
          </w:tcPr>
          <w:p>
            <w:pPr>
              <w:pStyle w:val="801"/>
              <w:spacing w:line="3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494" w:type="dxa"/>
            <w:vAlign w:val="center"/>
            <w:vMerge w:val="continue"/>
            <w:textDirection w:val="lrTb"/>
            <w:noWrap w:val="false"/>
          </w:tcPr>
          <w:p>
            <w:pPr>
              <w:pStyle w:val="801"/>
              <w:spacing w:line="3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49"/>
        </w:trPr>
        <w:tc>
          <w:tcPr>
            <w:tcW w:w="239" w:type="dxa"/>
            <w:vAlign w:val="center"/>
            <w:textDirection w:val="lrTb"/>
            <w:noWrap w:val="false"/>
          </w:tcPr>
          <w:p>
            <w:pPr>
              <w:pStyle w:val="801"/>
              <w:jc w:val="center"/>
              <w:spacing w:line="3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rPr>
            </w:r>
            <w:r/>
          </w:p>
        </w:tc>
        <w:tc>
          <w:tcPr>
            <w:tcW w:w="1704" w:type="dxa"/>
            <w:vAlign w:val="center"/>
            <w:textDirection w:val="lrTb"/>
            <w:noWrap w:val="false"/>
          </w:tcPr>
          <w:p>
            <w:pPr>
              <w:pStyle w:val="801"/>
              <w:spacing w:line="3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有依法缴纳税收和社会保障资金的良好记录</w:t>
            </w:r>
            <w:r>
              <w:rPr>
                <w:rFonts w:hint="eastAsia" w:ascii="宋体" w:hAnsi="宋体" w:eastAsia="宋体" w:cs="宋体"/>
                <w:color w:val="000000"/>
                <w:sz w:val="21"/>
                <w:szCs w:val="21"/>
                <w:highlight w:val="none"/>
              </w:rPr>
            </w:r>
            <w:r/>
          </w:p>
        </w:tc>
        <w:tc>
          <w:tcPr>
            <w:tcW w:w="2561" w:type="dxa"/>
            <w:vAlign w:val="center"/>
            <w:vMerge w:val="continue"/>
            <w:textDirection w:val="lrTb"/>
            <w:noWrap w:val="false"/>
          </w:tcPr>
          <w:p>
            <w:pPr>
              <w:pStyle w:val="801"/>
              <w:spacing w:line="3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494" w:type="dxa"/>
            <w:vAlign w:val="center"/>
            <w:vMerge w:val="continue"/>
            <w:textDirection w:val="lrTb"/>
            <w:noWrap w:val="false"/>
          </w:tcPr>
          <w:p>
            <w:pPr>
              <w:pStyle w:val="801"/>
              <w:spacing w:line="3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45"/>
        </w:trPr>
        <w:tc>
          <w:tcPr>
            <w:tcW w:w="239" w:type="dxa"/>
            <w:vAlign w:val="center"/>
            <w:textDirection w:val="lrTb"/>
            <w:noWrap w:val="false"/>
          </w:tcPr>
          <w:p>
            <w:pPr>
              <w:pStyle w:val="801"/>
              <w:jc w:val="center"/>
              <w:spacing w:line="3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w:t>
            </w:r>
            <w:r>
              <w:rPr>
                <w:rFonts w:hint="eastAsia" w:ascii="宋体" w:hAnsi="宋体" w:eastAsia="宋体" w:cs="宋体"/>
                <w:color w:val="000000"/>
                <w:sz w:val="21"/>
                <w:szCs w:val="21"/>
                <w:highlight w:val="none"/>
              </w:rPr>
            </w:r>
            <w:r/>
          </w:p>
        </w:tc>
        <w:tc>
          <w:tcPr>
            <w:tcW w:w="1704" w:type="dxa"/>
            <w:vAlign w:val="center"/>
            <w:textDirection w:val="lrTb"/>
            <w:noWrap w:val="false"/>
          </w:tcPr>
          <w:p>
            <w:pPr>
              <w:pStyle w:val="801"/>
              <w:spacing w:line="3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参加政府采购活动前三年内，在经营活动中没有重大违法记录</w:t>
            </w:r>
            <w:r>
              <w:rPr>
                <w:rFonts w:hint="eastAsia" w:ascii="宋体" w:hAnsi="宋体" w:eastAsia="宋体" w:cs="宋体"/>
                <w:color w:val="000000"/>
                <w:sz w:val="21"/>
                <w:szCs w:val="21"/>
                <w:highlight w:val="none"/>
              </w:rPr>
            </w:r>
            <w:r/>
          </w:p>
        </w:tc>
        <w:tc>
          <w:tcPr>
            <w:tcW w:w="2561" w:type="dxa"/>
            <w:vAlign w:val="center"/>
            <w:vMerge w:val="continue"/>
            <w:textDirection w:val="lrTb"/>
            <w:noWrap w:val="false"/>
          </w:tcPr>
          <w:p>
            <w:pPr>
              <w:pStyle w:val="801"/>
              <w:spacing w:line="3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494" w:type="dxa"/>
            <w:vAlign w:val="center"/>
            <w:vMerge w:val="continue"/>
            <w:textDirection w:val="lrTb"/>
            <w:noWrap w:val="false"/>
          </w:tcPr>
          <w:p>
            <w:pPr>
              <w:pStyle w:val="801"/>
              <w:spacing w:line="3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21"/>
        </w:trPr>
        <w:tc>
          <w:tcPr>
            <w:tcW w:w="239" w:type="dxa"/>
            <w:vAlign w:val="center"/>
            <w:textDirection w:val="lrTb"/>
            <w:noWrap w:val="false"/>
          </w:tcPr>
          <w:p>
            <w:pPr>
              <w:pStyle w:val="801"/>
              <w:jc w:val="center"/>
              <w:spacing w:line="3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w:t>
            </w:r>
            <w:r>
              <w:rPr>
                <w:rFonts w:hint="eastAsia" w:ascii="宋体" w:hAnsi="宋体" w:eastAsia="宋体" w:cs="宋体"/>
                <w:color w:val="000000"/>
                <w:sz w:val="21"/>
                <w:szCs w:val="21"/>
                <w:highlight w:val="none"/>
              </w:rPr>
            </w:r>
            <w:r/>
          </w:p>
        </w:tc>
        <w:tc>
          <w:tcPr>
            <w:tcW w:w="1704" w:type="dxa"/>
            <w:vAlign w:val="center"/>
            <w:textDirection w:val="lrTb"/>
            <w:noWrap w:val="false"/>
          </w:tcPr>
          <w:p>
            <w:pPr>
              <w:pStyle w:val="801"/>
              <w:spacing w:line="3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法律、行政法规规定的其他条件</w:t>
            </w:r>
            <w:r>
              <w:rPr>
                <w:rFonts w:hint="eastAsia" w:ascii="宋体" w:hAnsi="宋体" w:eastAsia="宋体" w:cs="宋体"/>
                <w:color w:val="000000"/>
                <w:sz w:val="21"/>
                <w:szCs w:val="21"/>
                <w:highlight w:val="none"/>
              </w:rPr>
            </w:r>
            <w:r/>
          </w:p>
        </w:tc>
        <w:tc>
          <w:tcPr>
            <w:tcW w:w="2561" w:type="dxa"/>
            <w:vAlign w:val="center"/>
            <w:vMerge w:val="continue"/>
            <w:textDirection w:val="lrTb"/>
            <w:noWrap w:val="false"/>
          </w:tcPr>
          <w:p>
            <w:pPr>
              <w:pStyle w:val="801"/>
              <w:spacing w:line="3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494" w:type="dxa"/>
            <w:vAlign w:val="center"/>
            <w:vMerge w:val="continue"/>
            <w:textDirection w:val="lrTb"/>
            <w:noWrap w:val="false"/>
          </w:tcPr>
          <w:p>
            <w:pPr>
              <w:pStyle w:val="801"/>
              <w:spacing w:line="3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90"/>
        </w:trPr>
        <w:tc>
          <w:tcPr>
            <w:tcW w:w="239" w:type="dxa"/>
            <w:vAlign w:val="center"/>
            <w:textDirection w:val="lrTb"/>
            <w:noWrap w:val="false"/>
          </w:tcPr>
          <w:p>
            <w:pPr>
              <w:pStyle w:val="801"/>
              <w:jc w:val="center"/>
              <w:spacing w:line="3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w:t>
            </w:r>
            <w:r>
              <w:rPr>
                <w:rFonts w:hint="eastAsia" w:ascii="宋体" w:hAnsi="宋体" w:eastAsia="宋体" w:cs="宋体"/>
                <w:color w:val="000000"/>
                <w:sz w:val="21"/>
                <w:szCs w:val="21"/>
                <w:highlight w:val="none"/>
              </w:rPr>
            </w:r>
            <w:r/>
          </w:p>
        </w:tc>
        <w:tc>
          <w:tcPr>
            <w:tcW w:w="1704" w:type="dxa"/>
            <w:vAlign w:val="center"/>
            <w:textDirection w:val="lrTb"/>
            <w:noWrap w:val="false"/>
          </w:tcPr>
          <w:p>
            <w:pPr>
              <w:pStyle w:val="801"/>
              <w:jc w:val="left"/>
              <w:spacing w:line="3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“信用中国”网站和中国政府采购网查询记录</w:t>
            </w:r>
            <w:r>
              <w:rPr>
                <w:rFonts w:hint="eastAsia" w:ascii="宋体" w:hAnsi="宋体" w:eastAsia="宋体" w:cs="宋体"/>
                <w:color w:val="000000"/>
                <w:sz w:val="21"/>
                <w:szCs w:val="21"/>
                <w:highlight w:val="none"/>
              </w:rPr>
            </w:r>
            <w:r/>
          </w:p>
        </w:tc>
        <w:tc>
          <w:tcPr>
            <w:tcW w:w="2561" w:type="dxa"/>
            <w:vAlign w:val="center"/>
            <w:vMerge w:val="continue"/>
            <w:textDirection w:val="lrTb"/>
            <w:noWrap w:val="false"/>
          </w:tcPr>
          <w:p>
            <w:pPr>
              <w:pStyle w:val="801"/>
              <w:spacing w:line="3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494" w:type="dxa"/>
            <w:vAlign w:val="center"/>
            <w:vMerge w:val="continue"/>
            <w:textDirection w:val="lrTb"/>
            <w:noWrap w:val="false"/>
          </w:tcPr>
          <w:p>
            <w:pPr>
              <w:pStyle w:val="801"/>
              <w:ind w:left="425"/>
              <w:spacing w:line="3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49"/>
        </w:trPr>
        <w:tc>
          <w:tcPr>
            <w:tcW w:w="239" w:type="dxa"/>
            <w:vAlign w:val="center"/>
            <w:textDirection w:val="lrTb"/>
            <w:noWrap w:val="false"/>
          </w:tcPr>
          <w:p>
            <w:pPr>
              <w:pStyle w:val="801"/>
              <w:jc w:val="center"/>
              <w:spacing w:line="3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w:t>
            </w:r>
            <w:r>
              <w:rPr>
                <w:rFonts w:hint="eastAsia" w:ascii="宋体" w:hAnsi="宋体" w:eastAsia="宋体" w:cs="宋体"/>
                <w:color w:val="000000"/>
                <w:sz w:val="21"/>
                <w:szCs w:val="21"/>
                <w:highlight w:val="none"/>
              </w:rPr>
            </w:r>
            <w:r/>
          </w:p>
        </w:tc>
        <w:tc>
          <w:tcPr>
            <w:tcW w:w="1704" w:type="dxa"/>
            <w:vAlign w:val="center"/>
            <w:textDirection w:val="lrTb"/>
            <w:noWrap w:val="false"/>
          </w:tcPr>
          <w:p>
            <w:pPr>
              <w:pStyle w:val="801"/>
              <w:spacing w:line="3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为本项目提供整体设计、规范编制或者项目管理、监理、检测等服务的投标人，不得再参加该采购项目的其他采购活动。</w:t>
            </w:r>
            <w:r>
              <w:rPr>
                <w:rFonts w:hint="eastAsia" w:ascii="宋体" w:hAnsi="宋体" w:eastAsia="宋体" w:cs="宋体"/>
                <w:color w:val="000000"/>
                <w:sz w:val="21"/>
                <w:szCs w:val="21"/>
                <w:highlight w:val="none"/>
              </w:rPr>
            </w:r>
            <w:r/>
          </w:p>
        </w:tc>
        <w:tc>
          <w:tcPr>
            <w:tcW w:w="2561" w:type="dxa"/>
            <w:vAlign w:val="center"/>
            <w:vMerge w:val="continue"/>
            <w:textDirection w:val="lrTb"/>
            <w:noWrap w:val="false"/>
          </w:tcPr>
          <w:p>
            <w:pPr>
              <w:pStyle w:val="801"/>
              <w:spacing w:line="3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494" w:type="dxa"/>
            <w:vAlign w:val="center"/>
            <w:vMerge w:val="continue"/>
            <w:textDirection w:val="lrTb"/>
            <w:noWrap w:val="false"/>
          </w:tcPr>
          <w:p>
            <w:pPr>
              <w:pStyle w:val="801"/>
              <w:ind w:left="425"/>
              <w:spacing w:line="3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948"/>
        </w:trPr>
        <w:tc>
          <w:tcPr>
            <w:tcW w:w="239" w:type="dxa"/>
            <w:vAlign w:val="center"/>
            <w:textDirection w:val="lrTb"/>
            <w:noWrap w:val="false"/>
          </w:tcPr>
          <w:p>
            <w:pPr>
              <w:pStyle w:val="801"/>
              <w:jc w:val="center"/>
              <w:spacing w:line="3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w:t>
            </w:r>
            <w:r>
              <w:rPr>
                <w:rFonts w:hint="eastAsia" w:ascii="宋体" w:hAnsi="宋体" w:eastAsia="宋体" w:cs="宋体"/>
                <w:color w:val="000000"/>
                <w:sz w:val="21"/>
                <w:szCs w:val="21"/>
                <w:highlight w:val="none"/>
              </w:rPr>
            </w:r>
            <w:r/>
          </w:p>
        </w:tc>
        <w:tc>
          <w:tcPr>
            <w:tcW w:w="1704" w:type="dxa"/>
            <w:vAlign w:val="center"/>
            <w:textDirection w:val="lrTb"/>
            <w:noWrap w:val="false"/>
          </w:tcPr>
          <w:p>
            <w:pPr>
              <w:pStyle w:val="801"/>
              <w:spacing w:line="3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投标单位负责人为同一人或者存在直接控股、管理关系的不同投标人，不得参加同一合同项下的政府采购活动</w:t>
            </w:r>
            <w:r>
              <w:rPr>
                <w:rFonts w:hint="eastAsia" w:ascii="宋体" w:hAnsi="宋体" w:eastAsia="宋体" w:cs="宋体"/>
                <w:color w:val="000000"/>
                <w:sz w:val="21"/>
                <w:szCs w:val="21"/>
                <w:highlight w:val="none"/>
              </w:rPr>
            </w:r>
            <w:r/>
          </w:p>
        </w:tc>
        <w:tc>
          <w:tcPr>
            <w:tcW w:w="2561" w:type="dxa"/>
            <w:vAlign w:val="center"/>
            <w:vMerge w:val="continue"/>
            <w:textDirection w:val="lrTb"/>
            <w:noWrap w:val="false"/>
          </w:tcPr>
          <w:p>
            <w:pPr>
              <w:pStyle w:val="801"/>
              <w:spacing w:line="3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494" w:type="dxa"/>
            <w:vAlign w:val="center"/>
            <w:vMerge w:val="continue"/>
            <w:textDirection w:val="lrTb"/>
            <w:noWrap w:val="false"/>
          </w:tcPr>
          <w:p>
            <w:pPr>
              <w:pStyle w:val="801"/>
              <w:ind w:left="425"/>
              <w:spacing w:line="3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70"/>
        </w:trPr>
        <w:tc>
          <w:tcPr>
            <w:tcW w:w="239" w:type="dxa"/>
            <w:vAlign w:val="center"/>
            <w:textDirection w:val="lrTb"/>
            <w:noWrap w:val="false"/>
          </w:tcPr>
          <w:p>
            <w:pPr>
              <w:pStyle w:val="801"/>
              <w:jc w:val="center"/>
              <w:spacing w:line="3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w:t>
            </w:r>
            <w:r>
              <w:rPr>
                <w:rFonts w:hint="eastAsia" w:ascii="宋体" w:hAnsi="宋体" w:eastAsia="宋体" w:cs="宋体"/>
                <w:color w:val="000000"/>
                <w:sz w:val="21"/>
                <w:szCs w:val="21"/>
                <w:highlight w:val="none"/>
              </w:rPr>
            </w:r>
            <w:r/>
          </w:p>
        </w:tc>
        <w:tc>
          <w:tcPr>
            <w:tcW w:w="1704" w:type="dxa"/>
            <w:vAlign w:val="center"/>
            <w:textDirection w:val="lrTb"/>
            <w:noWrap w:val="false"/>
          </w:tcPr>
          <w:p>
            <w:pPr>
              <w:pStyle w:val="801"/>
              <w:spacing w:line="3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本项目不接受联合体投标</w:t>
            </w:r>
            <w:r>
              <w:rPr>
                <w:rFonts w:hint="eastAsia" w:ascii="宋体" w:hAnsi="宋体" w:eastAsia="宋体" w:cs="宋体"/>
                <w:color w:val="000000"/>
                <w:sz w:val="21"/>
                <w:szCs w:val="21"/>
                <w:highlight w:val="none"/>
              </w:rPr>
            </w:r>
            <w:r/>
          </w:p>
        </w:tc>
        <w:tc>
          <w:tcPr>
            <w:tcW w:w="2561" w:type="dxa"/>
            <w:vAlign w:val="center"/>
            <w:textDirection w:val="lrTb"/>
            <w:noWrap w:val="false"/>
          </w:tcPr>
          <w:p>
            <w:pPr>
              <w:pStyle w:val="801"/>
              <w:spacing w:line="3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本项目未采用联合体投标</w:t>
            </w:r>
            <w:r>
              <w:rPr>
                <w:rFonts w:hint="eastAsia" w:ascii="宋体" w:hAnsi="宋体" w:eastAsia="宋体" w:cs="宋体"/>
                <w:color w:val="000000"/>
                <w:sz w:val="21"/>
                <w:szCs w:val="21"/>
                <w:highlight w:val="none"/>
              </w:rPr>
            </w:r>
            <w:r/>
          </w:p>
        </w:tc>
        <w:tc>
          <w:tcPr>
            <w:tcW w:w="494" w:type="dxa"/>
            <w:vAlign w:val="center"/>
            <w:textDirection w:val="lrTb"/>
            <w:noWrap w:val="false"/>
          </w:tcPr>
          <w:p>
            <w:pPr>
              <w:pStyle w:val="801"/>
              <w:ind w:left="425"/>
              <w:spacing w:line="3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49"/>
        </w:trPr>
        <w:tc>
          <w:tcPr>
            <w:tcW w:w="239" w:type="dxa"/>
            <w:vAlign w:val="center"/>
            <w:textDirection w:val="lrTb"/>
            <w:noWrap w:val="false"/>
          </w:tcPr>
          <w:p>
            <w:pPr>
              <w:pStyle w:val="801"/>
              <w:jc w:val="center"/>
              <w:spacing w:line="3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w:t>
            </w:r>
            <w:r>
              <w:rPr>
                <w:rFonts w:hint="eastAsia" w:ascii="宋体" w:hAnsi="宋体" w:eastAsia="宋体" w:cs="宋体"/>
                <w:color w:val="000000"/>
                <w:sz w:val="21"/>
                <w:szCs w:val="21"/>
                <w:highlight w:val="none"/>
              </w:rPr>
            </w:r>
            <w:r/>
          </w:p>
        </w:tc>
        <w:tc>
          <w:tcPr>
            <w:tcW w:w="1704" w:type="dxa"/>
            <w:vAlign w:val="center"/>
            <w:textDirection w:val="lrTb"/>
            <w:noWrap w:val="false"/>
          </w:tcPr>
          <w:p>
            <w:pPr>
              <w:pStyle w:val="801"/>
              <w:spacing w:line="3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落实政府采购政策需满足的资格要求</w:t>
            </w:r>
            <w:r>
              <w:rPr>
                <w:rFonts w:hint="eastAsia" w:ascii="宋体" w:hAnsi="宋体" w:eastAsia="宋体" w:cs="宋体"/>
                <w:color w:val="000000"/>
                <w:sz w:val="21"/>
                <w:szCs w:val="21"/>
                <w:highlight w:val="none"/>
              </w:rPr>
            </w:r>
            <w:r/>
          </w:p>
        </w:tc>
        <w:tc>
          <w:tcPr>
            <w:tcW w:w="2561" w:type="dxa"/>
            <w:vAlign w:val="center"/>
            <w:textDirection w:val="lrTb"/>
            <w:noWrap w:val="false"/>
          </w:tcPr>
          <w:p>
            <w:pPr>
              <w:pStyle w:val="801"/>
              <w:spacing w:line="3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投标人提供了满足落实政府采购政策资格要求的证明材料。</w:t>
            </w:r>
            <w:r>
              <w:rPr>
                <w:rFonts w:hint="eastAsia" w:ascii="宋体" w:hAnsi="宋体" w:eastAsia="宋体" w:cs="宋体"/>
                <w:color w:val="000000"/>
                <w:sz w:val="21"/>
                <w:szCs w:val="21"/>
                <w:highlight w:val="none"/>
                <w:lang w:val="zh-CN"/>
              </w:rPr>
              <w:t xml:space="preserve">提供</w:t>
            </w:r>
            <w:r>
              <w:rPr>
                <w:rFonts w:hint="eastAsia" w:ascii="宋体" w:hAnsi="宋体" w:eastAsia="宋体" w:cs="宋体"/>
                <w:color w:val="000000"/>
                <w:sz w:val="21"/>
                <w:szCs w:val="21"/>
                <w:highlight w:val="none"/>
                <w:lang w:val="en-US" w:eastAsia="zh-CN"/>
              </w:rPr>
              <w:t xml:space="preserve">承诺书</w:t>
            </w:r>
            <w:r>
              <w:rPr>
                <w:rFonts w:hint="eastAsia" w:ascii="宋体" w:hAnsi="宋体" w:eastAsia="宋体" w:cs="宋体"/>
                <w:color w:val="000000"/>
                <w:sz w:val="21"/>
                <w:szCs w:val="21"/>
                <w:highlight w:val="none"/>
                <w:lang w:val="zh-CN"/>
              </w:rPr>
              <w:t xml:space="preserve">并加盖投标人CA电子签章</w:t>
            </w:r>
            <w:r>
              <w:rPr>
                <w:rFonts w:hint="eastAsia" w:ascii="宋体" w:hAnsi="宋体" w:eastAsia="宋体" w:cs="宋体"/>
                <w:color w:val="000000"/>
                <w:sz w:val="21"/>
                <w:szCs w:val="21"/>
                <w:highlight w:val="none"/>
              </w:rPr>
            </w:r>
            <w:r/>
          </w:p>
        </w:tc>
        <w:tc>
          <w:tcPr>
            <w:tcW w:w="494" w:type="dxa"/>
            <w:vAlign w:val="center"/>
            <w:textDirection w:val="lrTb"/>
            <w:noWrap w:val="false"/>
          </w:tcPr>
          <w:p>
            <w:pPr>
              <w:pStyle w:val="801"/>
              <w:ind w:left="425"/>
              <w:spacing w:line="3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49"/>
        </w:trPr>
        <w:tc>
          <w:tcPr>
            <w:tcW w:w="239" w:type="dxa"/>
            <w:vAlign w:val="center"/>
            <w:textDirection w:val="lrTb"/>
            <w:noWrap w:val="false"/>
          </w:tcPr>
          <w:p>
            <w:pPr>
              <w:pStyle w:val="801"/>
              <w:jc w:val="center"/>
              <w:spacing w:line="3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w:t>
            </w:r>
            <w:r>
              <w:rPr>
                <w:rFonts w:hint="eastAsia" w:ascii="宋体" w:hAnsi="宋体" w:eastAsia="宋体" w:cs="宋体"/>
                <w:color w:val="000000"/>
                <w:sz w:val="21"/>
                <w:szCs w:val="21"/>
                <w:highlight w:val="none"/>
              </w:rPr>
            </w:r>
            <w:r/>
          </w:p>
        </w:tc>
        <w:tc>
          <w:tcPr>
            <w:tcW w:w="1704" w:type="dxa"/>
            <w:vAlign w:val="center"/>
            <w:textDirection w:val="lrTb"/>
            <w:noWrap w:val="false"/>
          </w:tcPr>
          <w:p>
            <w:pPr>
              <w:pStyle w:val="801"/>
              <w:spacing w:line="3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本项目的特定资格要求</w:t>
            </w:r>
            <w:r>
              <w:rPr>
                <w:rFonts w:hint="eastAsia" w:ascii="宋体" w:hAnsi="宋体" w:eastAsia="宋体" w:cs="宋体"/>
                <w:color w:val="000000"/>
                <w:sz w:val="21"/>
                <w:szCs w:val="21"/>
                <w:highlight w:val="none"/>
              </w:rPr>
            </w:r>
            <w:r/>
          </w:p>
        </w:tc>
        <w:tc>
          <w:tcPr>
            <w:tcW w:w="2561" w:type="dxa"/>
            <w:vAlign w:val="center"/>
            <w:textDirection w:val="lrTb"/>
            <w:noWrap w:val="false"/>
          </w:tcPr>
          <w:p>
            <w:pPr>
              <w:pStyle w:val="801"/>
              <w:spacing w:line="380" w:lineRule="exact"/>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⑴资质要求：具有住建行政主管部门核发的有效的《安全生产许可证》；具有住建行政主管部门颁发的有效期内的港口与航道工程施工总承包壹级及以上或航道工程专业承包壹级资质</w:t>
            </w:r>
            <w:r>
              <w:rPr>
                <w:rFonts w:hint="eastAsia" w:ascii="宋体" w:hAnsi="宋体" w:eastAsia="宋体" w:cs="宋体"/>
                <w:b w:val="0"/>
                <w:bCs w:val="0"/>
                <w:color w:val="000000"/>
                <w:sz w:val="21"/>
                <w:szCs w:val="21"/>
                <w:highlight w:val="none"/>
              </w:rPr>
              <w:t xml:space="preserve">或通航建筑物工程专业承包</w:t>
            </w:r>
            <w:r>
              <w:rPr>
                <w:rFonts w:hint="eastAsia" w:ascii="宋体" w:hAnsi="宋体" w:eastAsia="宋体" w:cs="宋体"/>
                <w:b w:val="0"/>
                <w:bCs w:val="0"/>
                <w:color w:val="000000"/>
                <w:sz w:val="21"/>
                <w:szCs w:val="21"/>
                <w:highlight w:val="none"/>
                <w:lang w:val="en-US" w:eastAsia="zh-CN"/>
              </w:rPr>
              <w:t xml:space="preserve">壹级</w:t>
            </w:r>
            <w:r>
              <w:rPr>
                <w:rFonts w:hint="eastAsia" w:ascii="宋体" w:hAnsi="宋体" w:eastAsia="宋体" w:cs="宋体"/>
                <w:b w:val="0"/>
                <w:bCs w:val="0"/>
                <w:color w:val="000000"/>
                <w:sz w:val="21"/>
                <w:szCs w:val="21"/>
                <w:highlight w:val="none"/>
              </w:rPr>
              <w:t xml:space="preserve">资质。</w:t>
            </w:r>
            <w:r>
              <w:rPr>
                <w:rFonts w:hint="eastAsia" w:ascii="宋体" w:hAnsi="宋体" w:eastAsia="宋体" w:cs="宋体"/>
                <w:color w:val="000000"/>
                <w:sz w:val="21"/>
                <w:szCs w:val="21"/>
                <w:highlight w:val="none"/>
                <w:lang w:val="en-US" w:eastAsia="zh-CN"/>
              </w:rPr>
              <w:t xml:space="preserve">（扫描件加盖CA电子签章）</w:t>
            </w:r>
            <w:r>
              <w:rPr>
                <w:rFonts w:hint="eastAsia" w:ascii="宋体" w:hAnsi="宋体" w:eastAsia="宋体" w:cs="宋体"/>
                <w:b w:val="0"/>
                <w:bCs w:val="0"/>
                <w:color w:val="000000"/>
                <w:sz w:val="21"/>
                <w:szCs w:val="21"/>
                <w:highlight w:val="none"/>
              </w:rPr>
            </w:r>
            <w:r/>
          </w:p>
          <w:p>
            <w:pPr>
              <w:pStyle w:val="801"/>
              <w:spacing w:line="380" w:lineRule="exact"/>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⑵主要人员要求：</w:t>
            </w:r>
            <w:r>
              <w:rPr>
                <w:rFonts w:hint="eastAsia" w:ascii="宋体" w:hAnsi="宋体" w:eastAsia="宋体" w:cs="宋体"/>
                <w:b w:val="0"/>
                <w:bCs w:val="0"/>
                <w:color w:val="000000"/>
                <w:sz w:val="21"/>
                <w:szCs w:val="21"/>
                <w:highlight w:val="none"/>
              </w:rPr>
            </w:r>
            <w:r/>
          </w:p>
          <w:p>
            <w:pPr>
              <w:pStyle w:val="801"/>
              <w:spacing w:line="38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①拟投入本项目的项目经理</w:t>
            </w:r>
            <w:r>
              <w:rPr>
                <w:rFonts w:hint="eastAsia" w:ascii="宋体" w:hAnsi="宋体" w:eastAsia="宋体" w:cs="宋体"/>
                <w:b w:val="0"/>
                <w:bCs w:val="0"/>
                <w:color w:val="000000"/>
                <w:sz w:val="21"/>
                <w:szCs w:val="21"/>
                <w:highlight w:val="none"/>
              </w:rPr>
              <w:t xml:space="preserve">应持有</w:t>
            </w:r>
            <w:r>
              <w:rPr>
                <w:rFonts w:hint="eastAsia" w:ascii="宋体" w:hAnsi="宋体" w:eastAsia="宋体" w:cs="宋体"/>
                <w:b/>
                <w:bCs/>
                <w:color w:val="000000"/>
                <w:sz w:val="21"/>
                <w:szCs w:val="21"/>
                <w:highlight w:val="none"/>
              </w:rPr>
              <w:t xml:space="preserve">有效二级及以上注册建造师（港口与航道工程专业或水利水电工程）</w:t>
            </w:r>
            <w:r>
              <w:rPr>
                <w:rFonts w:hint="eastAsia" w:ascii="宋体" w:hAnsi="宋体" w:eastAsia="宋体" w:cs="宋体"/>
                <w:b w:val="0"/>
                <w:bCs w:val="0"/>
                <w:color w:val="000000"/>
                <w:sz w:val="21"/>
                <w:szCs w:val="21"/>
                <w:highlight w:val="none"/>
              </w:rPr>
              <w:t xml:space="preserve">证书，具有省级交通运输行政主管部门核发的《公路水运工程施工企业主要负责人和安全生产管理人员安全生产考核合格证书》（B类）或《公路水运工程施工单位主要负责人、项目负责人和专职安全生产管理人员安全生产考核合格证书》（B类）。</w:t>
            </w:r>
            <w:r>
              <w:rPr>
                <w:rFonts w:hint="eastAsia" w:ascii="宋体" w:hAnsi="宋体" w:eastAsia="宋体" w:cs="宋体"/>
                <w:color w:val="000000"/>
                <w:sz w:val="21"/>
                <w:szCs w:val="21"/>
                <w:highlight w:val="none"/>
                <w:lang w:val="en-US" w:eastAsia="zh-CN"/>
              </w:rPr>
              <w:t xml:space="preserve">（扫描件加盖CA电子签章）</w:t>
            </w:r>
            <w:r>
              <w:rPr>
                <w:rFonts w:hint="eastAsia" w:ascii="宋体" w:hAnsi="宋体" w:eastAsia="宋体" w:cs="宋体"/>
                <w:color w:val="000000"/>
                <w:sz w:val="21"/>
                <w:szCs w:val="21"/>
                <w:highlight w:val="none"/>
                <w:lang w:val="en-US" w:eastAsia="zh-CN"/>
              </w:rPr>
            </w:r>
            <w:r/>
          </w:p>
          <w:p>
            <w:pPr>
              <w:pStyle w:val="801"/>
              <w:spacing w:line="380" w:lineRule="exact"/>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②</w:t>
            </w:r>
            <w:r>
              <w:rPr>
                <w:rFonts w:hint="eastAsia" w:ascii="宋体" w:hAnsi="宋体" w:eastAsia="宋体" w:cs="宋体"/>
                <w:b w:val="0"/>
                <w:bCs w:val="0"/>
                <w:color w:val="000000"/>
                <w:sz w:val="21"/>
                <w:szCs w:val="21"/>
                <w:highlight w:val="none"/>
                <w:lang w:val="en-US" w:eastAsia="zh-CN"/>
              </w:rPr>
              <w:t xml:space="preserve">项目总工（技术负责人）具有工程师及以上职称。</w:t>
            </w:r>
            <w:r>
              <w:rPr>
                <w:rFonts w:hint="eastAsia" w:ascii="宋体" w:hAnsi="宋体" w:eastAsia="宋体" w:cs="宋体"/>
                <w:color w:val="000000"/>
                <w:sz w:val="21"/>
                <w:szCs w:val="21"/>
                <w:highlight w:val="none"/>
                <w:lang w:val="en-US" w:eastAsia="zh-CN"/>
              </w:rPr>
              <w:t xml:space="preserve">（扫描件加盖CA电子签章）</w:t>
            </w:r>
            <w:r>
              <w:rPr>
                <w:rFonts w:hint="eastAsia" w:ascii="宋体" w:hAnsi="宋体" w:eastAsia="宋体" w:cs="宋体"/>
                <w:b w:val="0"/>
                <w:bCs w:val="0"/>
                <w:color w:val="000000"/>
                <w:sz w:val="21"/>
                <w:szCs w:val="21"/>
                <w:highlight w:val="none"/>
              </w:rPr>
            </w:r>
            <w:r/>
          </w:p>
          <w:p>
            <w:pPr>
              <w:pStyle w:val="801"/>
              <w:spacing w:line="380" w:lineRule="exact"/>
              <w:rPr>
                <w:rFonts w:hint="eastAsia" w:ascii="宋体" w:hAnsi="宋体" w:eastAsia="宋体" w:cs="宋体"/>
                <w:color w:val="000000"/>
                <w:sz w:val="21"/>
                <w:szCs w:val="21"/>
                <w:highlight w:val="none"/>
              </w:rPr>
            </w:pPr>
            <w:r>
              <w:rPr>
                <w:rFonts w:ascii="宋体" w:hAnsi="宋体" w:eastAsia="宋体" w:cs="宋体"/>
                <w:b w:val="0"/>
                <w:bCs w:val="0"/>
                <w:color w:val="000000"/>
                <w:sz w:val="21"/>
                <w:szCs w:val="21"/>
                <w:highlight w:val="none"/>
              </w:rPr>
              <w:t xml:space="preserve">③</w:t>
            </w:r>
            <w:r>
              <w:rPr>
                <w:rFonts w:hint="eastAsia" w:ascii="宋体" w:hAnsi="宋体" w:eastAsia="宋体" w:cs="宋体"/>
                <w:b w:val="0"/>
                <w:bCs w:val="0"/>
                <w:color w:val="000000"/>
                <w:sz w:val="21"/>
                <w:szCs w:val="21"/>
                <w:highlight w:val="none"/>
              </w:rPr>
              <w:t xml:space="preserve">投标人至少配备</w:t>
            </w:r>
            <w:r>
              <w:rPr>
                <w:rFonts w:hint="eastAsia" w:ascii="宋体" w:hAnsi="宋体" w:eastAsia="宋体" w:cs="宋体"/>
                <w:b w:val="0"/>
                <w:bCs w:val="0"/>
                <w:color w:val="000000"/>
                <w:sz w:val="21"/>
                <w:szCs w:val="21"/>
                <w:highlight w:val="none"/>
                <w:lang w:val="en-US" w:eastAsia="zh-CN"/>
              </w:rPr>
              <w:t xml:space="preserve">1</w:t>
            </w:r>
            <w:r>
              <w:rPr>
                <w:rFonts w:hint="eastAsia" w:ascii="宋体" w:hAnsi="宋体" w:eastAsia="宋体" w:cs="宋体"/>
                <w:b w:val="0"/>
                <w:bCs w:val="0"/>
                <w:color w:val="000000"/>
                <w:sz w:val="21"/>
                <w:szCs w:val="21"/>
                <w:highlight w:val="none"/>
              </w:rPr>
              <w:t xml:space="preserve">名专职安全员，专职安全员具有</w:t>
            </w:r>
            <w:r>
              <w:rPr>
                <w:rFonts w:hint="eastAsia" w:ascii="宋体" w:hAnsi="宋体" w:eastAsia="宋体" w:cs="宋体"/>
                <w:color w:val="000000"/>
                <w:sz w:val="21"/>
                <w:szCs w:val="21"/>
                <w:highlight w:val="none"/>
              </w:rPr>
              <w:t xml:space="preserve">省级交通运输行政主管部门核发的《公路水运工程施工企业主要负责人和安全生产管理人员安全生产考核合格证书》（C类）或《公路水运工程施工单位主要负责人、项目负责人和专职安全生产管理人员安全生产考核合格证书》（C类）。</w:t>
            </w:r>
            <w:r>
              <w:rPr>
                <w:rFonts w:hint="eastAsia" w:ascii="宋体" w:hAnsi="宋体" w:eastAsia="宋体" w:cs="宋体"/>
                <w:color w:val="000000"/>
                <w:sz w:val="21"/>
                <w:szCs w:val="21"/>
                <w:highlight w:val="none"/>
                <w:lang w:val="en-US" w:eastAsia="zh-CN"/>
              </w:rPr>
              <w:t xml:space="preserve">（扫描件加盖CA电子签章）</w:t>
            </w:r>
            <w:r>
              <w:rPr>
                <w:rFonts w:hint="eastAsia" w:ascii="宋体" w:hAnsi="宋体" w:eastAsia="宋体" w:cs="宋体"/>
                <w:color w:val="000000"/>
                <w:sz w:val="21"/>
                <w:szCs w:val="21"/>
                <w:highlight w:val="none"/>
              </w:rPr>
            </w:r>
            <w:r/>
          </w:p>
          <w:p>
            <w:pPr>
              <w:pStyle w:val="801"/>
              <w:spacing w:line="380" w:lineRule="exact"/>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⑶其他要求：</w:t>
            </w:r>
            <w:r>
              <w:rPr>
                <w:rFonts w:hint="eastAsia" w:ascii="宋体" w:hAnsi="宋体" w:eastAsia="宋体" w:cs="宋体"/>
                <w:b w:val="0"/>
                <w:bCs w:val="0"/>
                <w:color w:val="000000"/>
                <w:sz w:val="21"/>
                <w:szCs w:val="21"/>
                <w:highlight w:val="none"/>
              </w:rPr>
            </w:r>
            <w:r/>
          </w:p>
          <w:p>
            <w:pPr>
              <w:pStyle w:val="801"/>
              <w:spacing w:line="3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①拟投入的项目经理无在岗项目（指目前未在其他项目上任职，或虽在其他项目上任职但本项目中标后能够从该项目撤离，</w:t>
            </w:r>
            <w:r>
              <w:rPr>
                <w:rFonts w:hint="eastAsia" w:ascii="宋体" w:hAnsi="宋体" w:eastAsia="宋体" w:cs="宋体"/>
                <w:color w:val="000000"/>
                <w:sz w:val="21"/>
                <w:szCs w:val="21"/>
                <w:highlight w:val="none"/>
                <w:lang w:val="en-US" w:eastAsia="zh-CN"/>
              </w:rPr>
              <w:t xml:space="preserve">提供承诺书原件加盖</w:t>
            </w:r>
            <w:r>
              <w:rPr>
                <w:rFonts w:hint="eastAsia" w:ascii="宋体" w:hAnsi="宋体" w:eastAsia="宋体" w:cs="宋体"/>
                <w:color w:val="000000"/>
                <w:sz w:val="21"/>
                <w:szCs w:val="21"/>
                <w:highlight w:val="none"/>
              </w:rPr>
              <w:t xml:space="preserve">加盖CA电子签章</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格式自拟</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01"/>
              <w:spacing w:line="38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②拟投入本项目的项目经理、</w:t>
            </w:r>
            <w:r>
              <w:rPr>
                <w:rFonts w:hint="eastAsia" w:ascii="宋体" w:hAnsi="宋体" w:eastAsia="宋体" w:cs="宋体"/>
                <w:b w:val="0"/>
                <w:bCs w:val="0"/>
                <w:color w:val="000000"/>
                <w:sz w:val="21"/>
                <w:szCs w:val="21"/>
                <w:highlight w:val="none"/>
                <w:lang w:val="en-US" w:eastAsia="zh-CN"/>
              </w:rPr>
              <w:t xml:space="preserve">项目总工（技术负责人）、</w:t>
            </w:r>
            <w:r>
              <w:rPr>
                <w:rFonts w:hint="eastAsia" w:ascii="宋体" w:hAnsi="宋体" w:eastAsia="宋体" w:cs="宋体"/>
                <w:color w:val="000000"/>
                <w:sz w:val="21"/>
                <w:szCs w:val="21"/>
                <w:highlight w:val="none"/>
              </w:rPr>
              <w:t xml:space="preserve">专职安全员需提供所属社保机构出具的投标当月至投标当月开始往前3个月中，任意1个月的社保缴费证明（缴费证明内容需含缴费起止时间、缴费单位、缴费人员姓名并由社保机构加盖缴费证明专用章）。</w:t>
            </w:r>
            <w:r>
              <w:rPr>
                <w:rFonts w:hint="eastAsia" w:ascii="宋体" w:hAnsi="宋体" w:eastAsia="宋体" w:cs="宋体"/>
                <w:color w:val="000000"/>
                <w:sz w:val="21"/>
                <w:szCs w:val="21"/>
                <w:highlight w:val="none"/>
                <w:lang w:val="en-US" w:eastAsia="zh-CN"/>
              </w:rPr>
              <w:t xml:space="preserve">（扫描件加盖CA电子签章）</w:t>
            </w:r>
            <w:r>
              <w:rPr>
                <w:rFonts w:hint="eastAsia" w:ascii="宋体" w:hAnsi="宋体" w:eastAsia="宋体" w:cs="宋体"/>
                <w:color w:val="000000"/>
                <w:sz w:val="21"/>
                <w:szCs w:val="21"/>
                <w:highlight w:val="none"/>
                <w:lang w:val="en-US" w:eastAsia="zh-CN"/>
              </w:rPr>
            </w:r>
            <w:r/>
          </w:p>
          <w:p>
            <w:pPr>
              <w:pStyle w:val="801"/>
              <w:spacing w:line="380" w:lineRule="exact"/>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注：根据住房和城乡建设部办公厅关于全面实行一级建造师</w:t>
            </w:r>
            <w:r>
              <w:rPr>
                <w:rFonts w:hint="eastAsia" w:ascii="宋体" w:hAnsi="宋体" w:eastAsia="宋体" w:cs="宋体"/>
                <w:b/>
                <w:bCs/>
                <w:color w:val="000000"/>
                <w:sz w:val="21"/>
                <w:szCs w:val="21"/>
                <w:highlight w:val="none"/>
                <w:lang w:val="en-US" w:eastAsia="zh-CN"/>
              </w:rPr>
              <w:t xml:space="preserve">电子注册证书的通知(建办市〔2021〕40号)要求，自2021年10月15日起，在全国范围内实行一级建造师电子证书，电子证书式样按照《全国一体化在线政务服务平台电子证照一级建造师注册证书》标准执行。自2022年1月1日起，一级建造师统一使用电子证书，纸质注册证书作废。各投标人须上传一级建造师证书电子注册证书，电子注册证书应当符合相关文件规定，签名图像应当与持证人个人手写签名笔迹一致，证书应当在使用有效期限内。若文件中的证书复印件或扫描件无法识别有效信息的，视为无效。投标人将自行承担资格审查不通过等相应后果。</w:t>
            </w:r>
            <w:r>
              <w:rPr>
                <w:rFonts w:hint="eastAsia" w:ascii="宋体" w:hAnsi="宋体" w:eastAsia="宋体" w:cs="宋体"/>
                <w:b/>
                <w:bCs/>
                <w:color w:val="000000"/>
                <w:sz w:val="21"/>
                <w:szCs w:val="21"/>
                <w:highlight w:val="none"/>
                <w:lang w:val="en-US" w:eastAsia="zh-CN"/>
              </w:rPr>
            </w:r>
            <w:r/>
          </w:p>
          <w:p>
            <w:pPr>
              <w:pStyle w:val="801"/>
              <w:spacing w:line="38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投标人拟委任项目经理若为二级建造师的，须附其有效的二级建造师注册证书扫描件，建造师注册地住建行政主管部门有明确规定使用电子证书的，则应附建造师电子注册证书扫描件。投标文件中未提供上述扫描件的，其投标将被否决；使用电子注册证书的，证书扫描件若存在投标文件递交截止时间当日超出使用时限或无手写签名或手写签名与签名图像笔迹不一致等证书注册地住建行政主管部门规定的无效情形的，该证书无效，其投标将被否决。</w:t>
            </w:r>
            <w:r>
              <w:rPr>
                <w:rFonts w:hint="eastAsia" w:ascii="宋体" w:hAnsi="宋体" w:eastAsia="宋体" w:cs="宋体"/>
                <w:color w:val="000000"/>
                <w:sz w:val="21"/>
                <w:szCs w:val="21"/>
                <w:highlight w:val="none"/>
                <w:lang w:val="en-US" w:eastAsia="zh-CN"/>
              </w:rPr>
            </w:r>
            <w:r/>
          </w:p>
        </w:tc>
        <w:tc>
          <w:tcPr>
            <w:tcW w:w="494" w:type="dxa"/>
            <w:vAlign w:val="center"/>
            <w:textDirection w:val="lrTb"/>
            <w:noWrap w:val="false"/>
          </w:tcPr>
          <w:p>
            <w:pPr>
              <w:pStyle w:val="801"/>
              <w:ind w:left="425"/>
              <w:spacing w:line="3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97"/>
        </w:trPr>
        <w:tc>
          <w:tcPr>
            <w:gridSpan w:val="3"/>
            <w:tcW w:w="8141" w:type="dxa"/>
            <w:vAlign w:val="center"/>
            <w:textDirection w:val="lrTb"/>
            <w:noWrap w:val="false"/>
          </w:tcPr>
          <w:p>
            <w:pPr>
              <w:pStyle w:val="801"/>
              <w:jc w:val="center"/>
              <w:spacing w:line="380" w:lineRule="exact"/>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结论（通过或未通过）</w:t>
            </w:r>
            <w:r>
              <w:rPr>
                <w:rFonts w:hint="eastAsia" w:ascii="宋体" w:hAnsi="宋体" w:eastAsia="宋体" w:cs="宋体"/>
                <w:color w:val="000000"/>
                <w:sz w:val="21"/>
                <w:szCs w:val="21"/>
                <w:highlight w:val="none"/>
              </w:rPr>
            </w:r>
            <w:r/>
          </w:p>
        </w:tc>
        <w:tc>
          <w:tcPr>
            <w:tcW w:w="494" w:type="dxa"/>
            <w:vAlign w:val="center"/>
            <w:textDirection w:val="lrTb"/>
            <w:noWrap w:val="false"/>
          </w:tcPr>
          <w:p>
            <w:pPr>
              <w:pStyle w:val="801"/>
              <w:ind w:left="425"/>
              <w:spacing w:line="3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bl>
    <w:p>
      <w:pPr>
        <w:pStyle w:val="801"/>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注：符合要求用“√”表示，不符合用“×”表示。有一项不符合要求，结论为未通过。</w:t>
      </w:r>
      <w:r>
        <w:rPr>
          <w:rFonts w:hint="eastAsia" w:ascii="宋体" w:hAnsi="宋体" w:eastAsia="宋体" w:cs="宋体"/>
          <w:b/>
          <w:bCs/>
          <w:color w:val="000000"/>
          <w:sz w:val="21"/>
          <w:szCs w:val="21"/>
          <w:highlight w:val="none"/>
        </w:rPr>
      </w:r>
      <w:r/>
    </w:p>
    <w:p>
      <w:pPr>
        <w:pStyle w:val="801"/>
        <w:ind w:left="360"/>
        <w:spacing w:line="240" w:lineRule="exact"/>
        <w:rPr>
          <w:rFonts w:hint="eastAsia" w:ascii="宋体" w:hAnsi="宋体" w:eastAsia="宋体" w:cs="宋体"/>
          <w:b/>
          <w:bCs/>
          <w:color w:val="000000"/>
          <w:sz w:val="24"/>
          <w:szCs w:val="24"/>
          <w:highlight w:val="none"/>
        </w:rPr>
        <w:sectPr>
          <w:footerReference w:type="default" r:id="rId12"/>
          <w:footnotePr/>
          <w:endnotePr/>
          <w:type w:val="nextPage"/>
          <w:pgSz w:w="11906" w:h="16838" w:orient="portrait"/>
          <w:pgMar w:top="1417" w:right="1417" w:bottom="1417" w:left="1417" w:header="567" w:footer="567" w:gutter="0"/>
          <w:pgNumType w:start="1"/>
          <w:cols w:num="1" w:sep="0" w:space="1701" w:equalWidth="1"/>
          <w:docGrid w:linePitch="360"/>
        </w:sectPr>
      </w:pPr>
      <w:r>
        <w:rPr>
          <w:rFonts w:hint="eastAsia" w:ascii="宋体" w:hAnsi="宋体" w:eastAsia="宋体" w:cs="宋体"/>
          <w:b/>
          <w:bCs/>
          <w:color w:val="000000"/>
          <w:sz w:val="24"/>
          <w:szCs w:val="24"/>
          <w:highlight w:val="none"/>
        </w:rPr>
      </w:r>
      <w:r/>
    </w:p>
    <w:p>
      <w:pPr>
        <w:pStyle w:val="801"/>
        <w:keepLines w:val="0"/>
        <w:keepNext w:val="0"/>
        <w:pageBreakBefore w:val="0"/>
        <w:widowControl w:val="off"/>
        <w:tabs>
          <w:tab w:val="left" w:pos="-94" w:leader="none"/>
          <w:tab w:val="left" w:pos="428" w:leader="none"/>
        </w:tabs>
        <w:rPr>
          <w:rFonts w:hint="eastAsia" w:ascii="宋体" w:hAnsi="宋体" w:eastAsia="宋体" w:cs="宋体"/>
          <w:b/>
          <w:color w:val="000000"/>
          <w:sz w:val="24"/>
          <w:szCs w:val="24"/>
          <w:highlight w:val="none"/>
        </w:rPr>
        <w:outlineLvl w:val="1"/>
      </w:pPr>
      <w:r/>
      <w:bookmarkStart w:id="131" w:name="_Toc471"/>
      <w:r/>
      <w:bookmarkStart w:id="132" w:name="_Toc10180"/>
      <w:r/>
      <w:bookmarkStart w:id="133" w:name="_Toc12807"/>
      <w:r/>
      <w:bookmarkStart w:id="134" w:name="_Toc211090861"/>
      <w:r/>
      <w:bookmarkStart w:id="135" w:name="_Toc32503"/>
      <w:r/>
      <w:bookmarkStart w:id="136" w:name="_Toc1570"/>
      <w:r>
        <w:rPr>
          <w:rFonts w:hint="eastAsia" w:ascii="宋体" w:hAnsi="宋体" w:eastAsia="宋体" w:cs="宋体"/>
          <w:b/>
          <w:color w:val="000000"/>
          <w:sz w:val="24"/>
          <w:szCs w:val="24"/>
          <w:highlight w:val="none"/>
        </w:rPr>
        <w:t xml:space="preserve">附表二 符合性审查表</w:t>
      </w:r>
      <w:bookmarkEnd w:id="131"/>
      <w:r/>
      <w:bookmarkEnd w:id="132"/>
      <w:r/>
      <w:bookmarkEnd w:id="133"/>
      <w:r/>
      <w:bookmarkEnd w:id="134"/>
      <w:r/>
      <w:bookmarkEnd w:id="135"/>
      <w:r/>
      <w:bookmarkEnd w:id="136"/>
      <w:r>
        <w:rPr>
          <w:rFonts w:hint="eastAsia" w:ascii="宋体" w:hAnsi="宋体" w:eastAsia="宋体" w:cs="宋体"/>
          <w:b/>
          <w:color w:val="000000"/>
          <w:sz w:val="24"/>
          <w:szCs w:val="24"/>
          <w:highlight w:val="none"/>
        </w:rPr>
      </w:r>
      <w:r/>
    </w:p>
    <w:tbl>
      <w:tblPr>
        <w:tblW w:w="4877" w:type="pct"/>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455"/>
        <w:gridCol w:w="1787"/>
        <w:gridCol w:w="5589"/>
        <w:gridCol w:w="1229"/>
      </w:tblGrid>
      <w:tr>
        <w:trPr>
          <w:trHeight w:val="454"/>
        </w:trPr>
        <w:tc>
          <w:tcPr>
            <w:tcW w:w="251" w:type="dxa"/>
            <w:vAlign w:val="center"/>
            <w:textDirection w:val="lrTb"/>
            <w:noWrap w:val="false"/>
          </w:tcPr>
          <w:p>
            <w:pPr>
              <w:pStyle w:val="801"/>
              <w:jc w:val="center"/>
              <w:spacing w:line="240" w:lineRule="auto"/>
              <w:tabs>
                <w:tab w:val="left" w:pos="1260" w:leader="none"/>
                <w:tab w:val="left" w:pos="1620" w:leader="none"/>
              </w:tabs>
              <w:rPr>
                <w:rFonts w:hint="eastAsia" w:ascii="宋体" w:hAnsi="宋体" w:eastAsia="宋体" w:cs="宋体"/>
                <w:b/>
                <w:caps/>
                <w:color w:val="000000"/>
                <w:sz w:val="21"/>
                <w:szCs w:val="21"/>
                <w:highlight w:val="none"/>
              </w:rPr>
            </w:pPr>
            <w:r>
              <w:rPr>
                <w:rFonts w:hint="eastAsia" w:ascii="宋体" w:hAnsi="宋体" w:eastAsia="宋体" w:cs="宋体"/>
                <w:b/>
                <w:caps/>
                <w:color w:val="000000"/>
                <w:sz w:val="21"/>
                <w:szCs w:val="21"/>
                <w:highlight w:val="none"/>
              </w:rPr>
              <w:t xml:space="preserve">序号</w:t>
            </w:r>
            <w:r>
              <w:rPr>
                <w:rFonts w:hint="eastAsia" w:ascii="宋体" w:hAnsi="宋体" w:eastAsia="宋体" w:cs="宋体"/>
                <w:b/>
                <w:caps/>
                <w:color w:val="000000"/>
                <w:sz w:val="21"/>
                <w:szCs w:val="21"/>
                <w:highlight w:val="none"/>
              </w:rPr>
            </w:r>
            <w:r/>
          </w:p>
        </w:tc>
        <w:tc>
          <w:tcPr>
            <w:tcW w:w="986" w:type="dxa"/>
            <w:vAlign w:val="center"/>
            <w:textDirection w:val="lrTb"/>
            <w:noWrap w:val="false"/>
          </w:tcPr>
          <w:p>
            <w:pPr>
              <w:pStyle w:val="801"/>
              <w:jc w:val="center"/>
              <w:spacing w:line="240" w:lineRule="auto"/>
              <w:tabs>
                <w:tab w:val="left" w:pos="1260" w:leader="none"/>
                <w:tab w:val="left" w:pos="1620" w:leader="none"/>
              </w:tabs>
              <w:rPr>
                <w:rFonts w:hint="eastAsia" w:ascii="宋体" w:hAnsi="宋体" w:eastAsia="宋体" w:cs="宋体"/>
                <w:b/>
                <w:caps/>
                <w:color w:val="000000"/>
                <w:sz w:val="21"/>
                <w:szCs w:val="21"/>
                <w:highlight w:val="none"/>
              </w:rPr>
            </w:pPr>
            <w:r>
              <w:rPr>
                <w:rFonts w:hint="eastAsia" w:ascii="宋体" w:hAnsi="宋体" w:eastAsia="宋体" w:cs="宋体"/>
                <w:b/>
                <w:caps/>
                <w:color w:val="000000"/>
                <w:sz w:val="21"/>
                <w:szCs w:val="21"/>
                <w:highlight w:val="none"/>
              </w:rPr>
              <w:t xml:space="preserve">评标项目</w:t>
            </w:r>
            <w:r>
              <w:rPr>
                <w:rFonts w:hint="eastAsia" w:ascii="宋体" w:hAnsi="宋体" w:eastAsia="宋体" w:cs="宋体"/>
                <w:b/>
                <w:caps/>
                <w:color w:val="000000"/>
                <w:sz w:val="21"/>
                <w:szCs w:val="21"/>
                <w:highlight w:val="none"/>
              </w:rPr>
            </w:r>
            <w:r/>
          </w:p>
        </w:tc>
        <w:tc>
          <w:tcPr>
            <w:tcW w:w="3084" w:type="dxa"/>
            <w:vAlign w:val="center"/>
            <w:textDirection w:val="lrTb"/>
            <w:noWrap w:val="false"/>
          </w:tcPr>
          <w:p>
            <w:pPr>
              <w:pStyle w:val="801"/>
              <w:jc w:val="center"/>
              <w:spacing w:line="240" w:lineRule="auto"/>
              <w:tabs>
                <w:tab w:val="left" w:pos="1260" w:leader="none"/>
                <w:tab w:val="left" w:pos="1620" w:leader="none"/>
              </w:tabs>
              <w:rPr>
                <w:rFonts w:hint="eastAsia" w:ascii="宋体" w:hAnsi="宋体" w:eastAsia="宋体" w:cs="宋体"/>
                <w:b/>
                <w:caps/>
                <w:color w:val="000000"/>
                <w:sz w:val="21"/>
                <w:szCs w:val="21"/>
                <w:highlight w:val="none"/>
              </w:rPr>
            </w:pPr>
            <w:r>
              <w:rPr>
                <w:rFonts w:hint="eastAsia" w:ascii="宋体" w:hAnsi="宋体" w:eastAsia="宋体" w:cs="宋体"/>
                <w:b/>
                <w:caps/>
                <w:color w:val="000000"/>
                <w:sz w:val="21"/>
                <w:szCs w:val="21"/>
                <w:highlight w:val="none"/>
              </w:rPr>
              <w:t xml:space="preserve">评标标准</w:t>
            </w:r>
            <w:r>
              <w:rPr>
                <w:rFonts w:hint="eastAsia" w:ascii="宋体" w:hAnsi="宋体" w:eastAsia="宋体" w:cs="宋体"/>
                <w:b/>
                <w:caps/>
                <w:color w:val="000000"/>
                <w:sz w:val="21"/>
                <w:szCs w:val="21"/>
                <w:highlight w:val="none"/>
              </w:rPr>
            </w:r>
            <w:r/>
          </w:p>
        </w:tc>
        <w:tc>
          <w:tcPr>
            <w:tcW w:w="678" w:type="dxa"/>
            <w:vAlign w:val="center"/>
            <w:textDirection w:val="lrTb"/>
            <w:noWrap w:val="false"/>
          </w:tcPr>
          <w:p>
            <w:pPr>
              <w:pStyle w:val="801"/>
              <w:jc w:val="center"/>
              <w:spacing w:line="240" w:lineRule="auto"/>
              <w:tabs>
                <w:tab w:val="left" w:pos="1260" w:leader="none"/>
                <w:tab w:val="left" w:pos="1620" w:leader="none"/>
              </w:tabs>
              <w:rPr>
                <w:rFonts w:hint="eastAsia" w:ascii="宋体" w:hAnsi="宋体" w:eastAsia="宋体" w:cs="宋体"/>
                <w:b/>
                <w:caps/>
                <w:color w:val="000000"/>
                <w:sz w:val="21"/>
                <w:szCs w:val="21"/>
                <w:highlight w:val="none"/>
              </w:rPr>
            </w:pPr>
            <w:r>
              <w:rPr>
                <w:rFonts w:hint="eastAsia" w:ascii="宋体" w:hAnsi="宋体" w:eastAsia="宋体" w:cs="宋体"/>
                <w:b/>
                <w:caps/>
                <w:color w:val="000000"/>
                <w:sz w:val="21"/>
                <w:szCs w:val="21"/>
                <w:highlight w:val="none"/>
              </w:rPr>
              <w:t xml:space="preserve">评标结论</w:t>
            </w:r>
            <w:r>
              <w:rPr>
                <w:rFonts w:hint="eastAsia" w:ascii="宋体" w:hAnsi="宋体" w:eastAsia="宋体" w:cs="宋体"/>
                <w:b/>
                <w:caps/>
                <w:color w:val="000000"/>
                <w:sz w:val="21"/>
                <w:szCs w:val="21"/>
                <w:highlight w:val="none"/>
              </w:rPr>
            </w:r>
            <w:r/>
          </w:p>
          <w:p>
            <w:pPr>
              <w:pStyle w:val="801"/>
              <w:jc w:val="center"/>
              <w:spacing w:line="240" w:lineRule="auto"/>
              <w:tabs>
                <w:tab w:val="left" w:pos="1260" w:leader="none"/>
                <w:tab w:val="left" w:pos="1620" w:leader="none"/>
              </w:tabs>
              <w:rPr>
                <w:rFonts w:hint="eastAsia" w:ascii="宋体" w:hAnsi="宋体" w:eastAsia="宋体" w:cs="宋体"/>
                <w:b/>
                <w:caps/>
                <w:color w:val="000000"/>
                <w:sz w:val="21"/>
                <w:szCs w:val="21"/>
                <w:highlight w:val="none"/>
              </w:rPr>
            </w:pPr>
            <w:r>
              <w:rPr>
                <w:rFonts w:hint="eastAsia" w:ascii="宋体" w:hAnsi="宋体" w:eastAsia="宋体" w:cs="宋体"/>
                <w:b/>
                <w:caps/>
                <w:color w:val="000000"/>
                <w:sz w:val="21"/>
                <w:szCs w:val="21"/>
                <w:highlight w:val="none"/>
              </w:rPr>
              <w:t xml:space="preserve">（</w:t>
            </w:r>
            <w:r>
              <w:rPr>
                <w:rFonts w:hint="eastAsia" w:ascii="宋体" w:hAnsi="宋体" w:eastAsia="宋体" w:cs="宋体"/>
                <w:color w:val="000000"/>
                <w:sz w:val="21"/>
                <w:szCs w:val="21"/>
                <w:highlight w:val="none"/>
              </w:rPr>
              <w:t xml:space="preserve">√</w:t>
            </w:r>
            <w:r>
              <w:rPr>
                <w:rFonts w:hint="eastAsia" w:ascii="宋体" w:hAnsi="宋体" w:eastAsia="宋体" w:cs="宋体"/>
                <w:b/>
                <w:caps/>
                <w:color w:val="000000"/>
                <w:sz w:val="21"/>
                <w:szCs w:val="21"/>
                <w:highlight w:val="none"/>
              </w:rPr>
              <w:t xml:space="preserve">/</w:t>
            </w:r>
            <w:r>
              <w:rPr>
                <w:rFonts w:hint="eastAsia" w:ascii="宋体" w:hAnsi="宋体" w:eastAsia="宋体" w:cs="宋体"/>
                <w:color w:val="000000"/>
                <w:sz w:val="21"/>
                <w:szCs w:val="21"/>
                <w:highlight w:val="none"/>
              </w:rPr>
              <w:t xml:space="preserve">×</w:t>
            </w:r>
            <w:r>
              <w:rPr>
                <w:rFonts w:hint="eastAsia" w:ascii="宋体" w:hAnsi="宋体" w:eastAsia="宋体" w:cs="宋体"/>
                <w:b/>
                <w:caps/>
                <w:color w:val="000000"/>
                <w:sz w:val="21"/>
                <w:szCs w:val="21"/>
                <w:highlight w:val="none"/>
              </w:rPr>
              <w:t xml:space="preserve">）</w:t>
            </w:r>
            <w:r>
              <w:rPr>
                <w:rFonts w:hint="eastAsia" w:ascii="宋体" w:hAnsi="宋体" w:eastAsia="宋体" w:cs="宋体"/>
                <w:b/>
                <w:caps/>
                <w:color w:val="000000"/>
                <w:sz w:val="21"/>
                <w:szCs w:val="21"/>
                <w:highlight w:val="none"/>
              </w:rPr>
            </w:r>
            <w:r/>
          </w:p>
        </w:tc>
      </w:tr>
      <w:tr>
        <w:trPr>
          <w:trHeight w:val="1082"/>
        </w:trPr>
        <w:tc>
          <w:tcPr>
            <w:tcW w:w="251" w:type="dxa"/>
            <w:vAlign w:val="center"/>
            <w:textDirection w:val="lrTb"/>
            <w:noWrap w:val="false"/>
          </w:tcPr>
          <w:p>
            <w:pPr>
              <w:pStyle w:val="801"/>
              <w:jc w:val="center"/>
              <w:spacing w:line="240" w:lineRule="auto"/>
              <w:rPr>
                <w:rFonts w:hint="eastAsia" w:ascii="宋体" w:hAnsi="宋体" w:eastAsia="宋体" w:cs="宋体"/>
                <w:b/>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b/>
                <w:color w:val="000000"/>
                <w:sz w:val="21"/>
                <w:szCs w:val="21"/>
                <w:highlight w:val="none"/>
              </w:rPr>
            </w:r>
            <w:r/>
          </w:p>
        </w:tc>
        <w:tc>
          <w:tcPr>
            <w:tcW w:w="986" w:type="dxa"/>
            <w:vAlign w:val="center"/>
            <w:textDirection w:val="lrTb"/>
            <w:noWrap w:val="false"/>
          </w:tcPr>
          <w:p>
            <w:pPr>
              <w:pStyle w:val="801"/>
              <w:jc w:val="center"/>
              <w:spacing w:line="240" w:lineRule="auto"/>
              <w:tabs>
                <w:tab w:val="left" w:pos="1260" w:leader="none"/>
                <w:tab w:val="left" w:pos="16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投标文件</w:t>
            </w:r>
            <w:r>
              <w:rPr>
                <w:rFonts w:hint="eastAsia" w:ascii="宋体" w:hAnsi="宋体" w:eastAsia="宋体" w:cs="宋体"/>
                <w:color w:val="000000"/>
                <w:sz w:val="21"/>
                <w:szCs w:val="21"/>
                <w:highlight w:val="none"/>
              </w:rPr>
            </w:r>
            <w:r/>
          </w:p>
          <w:p>
            <w:pPr>
              <w:pStyle w:val="801"/>
              <w:jc w:val="center"/>
              <w:spacing w:line="240" w:lineRule="auto"/>
              <w:tabs>
                <w:tab w:val="left" w:pos="1260" w:leader="none"/>
                <w:tab w:val="left" w:pos="16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签署盖章</w:t>
            </w:r>
            <w:r>
              <w:rPr>
                <w:rFonts w:hint="eastAsia" w:ascii="宋体" w:hAnsi="宋体" w:eastAsia="宋体" w:cs="宋体"/>
                <w:color w:val="000000"/>
                <w:sz w:val="21"/>
                <w:szCs w:val="21"/>
                <w:highlight w:val="none"/>
              </w:rPr>
            </w:r>
            <w:r/>
          </w:p>
        </w:tc>
        <w:tc>
          <w:tcPr>
            <w:tcW w:w="3084" w:type="dxa"/>
            <w:vAlign w:val="center"/>
            <w:textDirection w:val="lrTb"/>
            <w:noWrap w:val="false"/>
          </w:tcPr>
          <w:p>
            <w:pPr>
              <w:pStyle w:val="801"/>
              <w:spacing w:line="240" w:lineRule="auto"/>
              <w:tabs>
                <w:tab w:val="left" w:pos="1260" w:leader="none"/>
                <w:tab w:val="left" w:pos="1620" w:leader="none"/>
              </w:tabs>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招标文件“投标文件格式”中要求盖单位章和（或）签字的地方均应使用CA数字证书加盖投标人的单位电子印章和（或）法定代表人的个人电子印章或电子签名章。</w:t>
            </w:r>
            <w:r>
              <w:rPr>
                <w:rFonts w:hint="eastAsia" w:ascii="宋体" w:hAnsi="宋体" w:eastAsia="宋体" w:cs="宋体"/>
                <w:color w:val="000000"/>
                <w:sz w:val="21"/>
                <w:szCs w:val="21"/>
                <w:highlight w:val="none"/>
              </w:rPr>
            </w:r>
            <w:r/>
          </w:p>
        </w:tc>
        <w:tc>
          <w:tcPr>
            <w:tcW w:w="678" w:type="dxa"/>
            <w:vAlign w:val="center"/>
            <w:textDirection w:val="lrTb"/>
            <w:noWrap w:val="false"/>
          </w:tcPr>
          <w:p>
            <w:pPr>
              <w:pStyle w:val="801"/>
              <w:spacing w:line="240" w:lineRule="auto"/>
              <w:tabs>
                <w:tab w:val="left" w:pos="1260" w:leader="none"/>
                <w:tab w:val="left" w:pos="16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54"/>
        </w:trPr>
        <w:tc>
          <w:tcPr>
            <w:tcW w:w="251" w:type="dxa"/>
            <w:vAlign w:val="center"/>
            <w:textDirection w:val="lrTb"/>
            <w:noWrap w:val="false"/>
          </w:tcPr>
          <w:p>
            <w:pPr>
              <w:pStyle w:val="801"/>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c>
          <w:tcPr>
            <w:tcW w:w="986" w:type="dxa"/>
            <w:vAlign w:val="center"/>
            <w:textDirection w:val="lrTb"/>
            <w:noWrap w:val="false"/>
          </w:tcPr>
          <w:p>
            <w:pPr>
              <w:pStyle w:val="801"/>
              <w:jc w:val="center"/>
              <w:spacing w:line="240" w:lineRule="auto"/>
              <w:tabs>
                <w:tab w:val="left" w:pos="1260" w:leader="none"/>
                <w:tab w:val="left" w:pos="16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投标文件有效期</w:t>
            </w:r>
            <w:r>
              <w:rPr>
                <w:rFonts w:hint="eastAsia" w:ascii="宋体" w:hAnsi="宋体" w:eastAsia="宋体" w:cs="宋体"/>
                <w:color w:val="000000"/>
                <w:sz w:val="21"/>
                <w:szCs w:val="21"/>
                <w:highlight w:val="none"/>
              </w:rPr>
            </w:r>
            <w:r/>
          </w:p>
        </w:tc>
        <w:tc>
          <w:tcPr>
            <w:tcW w:w="3084" w:type="dxa"/>
            <w:vAlign w:val="center"/>
            <w:textDirection w:val="lrTb"/>
            <w:noWrap w:val="false"/>
          </w:tcPr>
          <w:p>
            <w:pPr>
              <w:pStyle w:val="801"/>
              <w:spacing w:line="240" w:lineRule="auto"/>
              <w:tabs>
                <w:tab w:val="left" w:pos="1260" w:leader="none"/>
                <w:tab w:val="left" w:pos="16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有效期满足招标文件要求。</w:t>
            </w:r>
            <w:r>
              <w:rPr>
                <w:rFonts w:hint="eastAsia" w:ascii="宋体" w:hAnsi="宋体" w:eastAsia="宋体" w:cs="宋体"/>
                <w:color w:val="000000"/>
                <w:sz w:val="21"/>
                <w:szCs w:val="21"/>
                <w:highlight w:val="none"/>
              </w:rPr>
            </w:r>
            <w:r/>
          </w:p>
        </w:tc>
        <w:tc>
          <w:tcPr>
            <w:tcW w:w="678" w:type="dxa"/>
            <w:vAlign w:val="center"/>
            <w:textDirection w:val="lrTb"/>
            <w:noWrap w:val="false"/>
          </w:tcPr>
          <w:p>
            <w:pPr>
              <w:pStyle w:val="801"/>
              <w:spacing w:line="240" w:lineRule="auto"/>
              <w:tabs>
                <w:tab w:val="left" w:pos="1260" w:leader="none"/>
                <w:tab w:val="left" w:pos="16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54"/>
        </w:trPr>
        <w:tc>
          <w:tcPr>
            <w:tcW w:w="251" w:type="dxa"/>
            <w:vAlign w:val="center"/>
            <w:textDirection w:val="lrTb"/>
            <w:noWrap w:val="false"/>
          </w:tcPr>
          <w:p>
            <w:pPr>
              <w:pStyle w:val="801"/>
              <w:jc w:val="center"/>
              <w:spacing w:line="24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eastAsia="zh-CN"/>
              </w:rPr>
            </w:r>
            <w:r/>
          </w:p>
        </w:tc>
        <w:tc>
          <w:tcPr>
            <w:tcW w:w="986" w:type="dxa"/>
            <w:vAlign w:val="center"/>
            <w:textDirection w:val="lrTb"/>
            <w:noWrap w:val="false"/>
          </w:tcPr>
          <w:p>
            <w:pPr>
              <w:pStyle w:val="801"/>
              <w:jc w:val="center"/>
              <w:spacing w:line="240" w:lineRule="auto"/>
              <w:tabs>
                <w:tab w:val="left" w:pos="1260" w:leader="none"/>
                <w:tab w:val="left" w:pos="16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响应范围</w:t>
            </w:r>
            <w:r>
              <w:rPr>
                <w:rFonts w:hint="eastAsia" w:ascii="宋体" w:hAnsi="宋体" w:eastAsia="宋体" w:cs="宋体"/>
                <w:color w:val="000000"/>
                <w:sz w:val="21"/>
                <w:szCs w:val="21"/>
                <w:highlight w:val="none"/>
              </w:rPr>
            </w:r>
            <w:r/>
          </w:p>
        </w:tc>
        <w:tc>
          <w:tcPr>
            <w:tcW w:w="3084" w:type="dxa"/>
            <w:vAlign w:val="center"/>
            <w:textDirection w:val="lrTb"/>
            <w:noWrap w:val="false"/>
          </w:tcPr>
          <w:p>
            <w:pPr>
              <w:pStyle w:val="801"/>
              <w:spacing w:line="240" w:lineRule="auto"/>
              <w:tabs>
                <w:tab w:val="left" w:pos="1260" w:leader="none"/>
                <w:tab w:val="left" w:pos="16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与招标文件要求的范围无实质性遗漏</w:t>
            </w:r>
            <w:r>
              <w:rPr>
                <w:rFonts w:hint="eastAsia" w:ascii="宋体" w:hAnsi="宋体" w:eastAsia="宋体" w:cs="宋体"/>
                <w:color w:val="000000"/>
                <w:sz w:val="21"/>
                <w:szCs w:val="21"/>
                <w:highlight w:val="none"/>
              </w:rPr>
            </w:r>
            <w:r/>
          </w:p>
        </w:tc>
        <w:tc>
          <w:tcPr>
            <w:tcW w:w="678" w:type="dxa"/>
            <w:vAlign w:val="center"/>
            <w:textDirection w:val="lrTb"/>
            <w:noWrap w:val="false"/>
          </w:tcPr>
          <w:p>
            <w:pPr>
              <w:pStyle w:val="801"/>
              <w:spacing w:line="240" w:lineRule="auto"/>
              <w:tabs>
                <w:tab w:val="left" w:pos="1260" w:leader="none"/>
                <w:tab w:val="left" w:pos="16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519"/>
        </w:trPr>
        <w:tc>
          <w:tcPr>
            <w:tcW w:w="251" w:type="dxa"/>
            <w:vAlign w:val="center"/>
            <w:textDirection w:val="lrTb"/>
            <w:noWrap w:val="false"/>
          </w:tcPr>
          <w:p>
            <w:pPr>
              <w:pStyle w:val="801"/>
              <w:jc w:val="center"/>
              <w:spacing w:line="24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eastAsia="zh-CN"/>
              </w:rPr>
            </w:r>
            <w:r/>
          </w:p>
        </w:tc>
        <w:tc>
          <w:tcPr>
            <w:tcW w:w="986" w:type="dxa"/>
            <w:vAlign w:val="center"/>
            <w:textDirection w:val="lrTb"/>
            <w:noWrap w:val="false"/>
          </w:tcPr>
          <w:p>
            <w:pPr>
              <w:pStyle w:val="801"/>
              <w:jc w:val="center"/>
              <w:spacing w:line="240" w:lineRule="auto"/>
              <w:tabs>
                <w:tab w:val="left" w:pos="1260" w:leader="none"/>
                <w:tab w:val="left" w:pos="16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报价</w:t>
            </w:r>
            <w:r>
              <w:rPr>
                <w:rFonts w:hint="eastAsia" w:ascii="宋体" w:hAnsi="宋体" w:eastAsia="宋体" w:cs="宋体"/>
                <w:color w:val="000000"/>
                <w:sz w:val="21"/>
                <w:szCs w:val="21"/>
                <w:highlight w:val="none"/>
              </w:rPr>
            </w:r>
            <w:r/>
          </w:p>
        </w:tc>
        <w:tc>
          <w:tcPr>
            <w:tcW w:w="3084" w:type="dxa"/>
            <w:vAlign w:val="center"/>
            <w:textDirection w:val="lrTb"/>
            <w:noWrap w:val="false"/>
          </w:tcPr>
          <w:p>
            <w:pPr>
              <w:pStyle w:val="801"/>
              <w:spacing w:line="400" w:lineRule="exact"/>
              <w:tabs>
                <w:tab w:val="left" w:pos="1260" w:leader="none"/>
                <w:tab w:val="left" w:pos="1620" w:leader="none"/>
              </w:tabs>
              <w:rPr>
                <w:rFonts w:hint="eastAsia" w:ascii="宋体" w:hAnsi="宋体" w:eastAsia="宋体" w:cs="宋体"/>
                <w:color w:val="000000"/>
                <w:sz w:val="21"/>
                <w:szCs w:val="21"/>
                <w:highlight w:val="none"/>
              </w:rPr>
            </w:pPr>
            <w:r>
              <w:rPr>
                <w:rFonts w:hint="eastAsia" w:ascii="宋体" w:hAnsi="宋体" w:eastAsia="宋体" w:cs="宋体"/>
                <w:iCs/>
                <w:color w:val="000000"/>
                <w:sz w:val="21"/>
                <w:szCs w:val="21"/>
                <w:highlight w:val="none"/>
              </w:rPr>
              <w:t xml:space="preserve">报价是固定单价及总价，且总价未超过预算金额或最高限价，投标人填写完毕的工程量固化</w:t>
            </w:r>
            <w:r>
              <w:rPr>
                <w:rFonts w:hint="eastAsia" w:ascii="宋体" w:hAnsi="宋体" w:eastAsia="宋体" w:cs="宋体"/>
                <w:b/>
                <w:bCs/>
                <w:iCs/>
                <w:color w:val="000000"/>
                <w:sz w:val="21"/>
                <w:szCs w:val="21"/>
                <w:highlight w:val="none"/>
                <w:lang w:val="en-US" w:eastAsia="zh-CN"/>
              </w:rPr>
              <w:t xml:space="preserve">全费用工程量清单投标报价单</w:t>
            </w:r>
            <w:r>
              <w:rPr>
                <w:rFonts w:hint="eastAsia" w:ascii="宋体" w:hAnsi="宋体" w:eastAsia="宋体" w:cs="宋体"/>
                <w:b/>
                <w:bCs/>
                <w:iCs/>
                <w:color w:val="000000"/>
                <w:sz w:val="21"/>
                <w:szCs w:val="21"/>
                <w:highlight w:val="none"/>
              </w:rPr>
              <w:t xml:space="preserve">未对工程量固化清单电子文件中的数据、格式和运算定义进行修改；</w:t>
            </w:r>
            <w:r>
              <w:rPr>
                <w:rFonts w:hint="eastAsia" w:ascii="宋体" w:hAnsi="宋体" w:eastAsia="宋体" w:cs="宋体"/>
                <w:b/>
                <w:bCs/>
                <w:iCs/>
                <w:color w:val="000000"/>
                <w:sz w:val="21"/>
                <w:szCs w:val="21"/>
                <w:highlight w:val="none"/>
                <w:lang w:val="en-US" w:eastAsia="zh-CN"/>
              </w:rPr>
              <w:t xml:space="preserve">全费用工程量清单投标报价单</w:t>
            </w:r>
            <w:r>
              <w:rPr>
                <w:rFonts w:hint="eastAsia" w:ascii="宋体" w:hAnsi="宋体" w:eastAsia="宋体" w:cs="宋体"/>
                <w:b/>
                <w:bCs/>
                <w:iCs/>
                <w:color w:val="000000"/>
                <w:sz w:val="21"/>
                <w:szCs w:val="21"/>
                <w:highlight w:val="none"/>
              </w:rPr>
              <w:t xml:space="preserve">中的投标报价和投标函大写金额报价一致</w:t>
            </w:r>
            <w:r>
              <w:rPr>
                <w:rFonts w:hint="eastAsia" w:ascii="宋体" w:hAnsi="宋体" w:eastAsia="宋体" w:cs="宋体"/>
                <w:iCs/>
                <w:color w:val="000000"/>
                <w:sz w:val="21"/>
                <w:szCs w:val="21"/>
                <w:highlight w:val="none"/>
              </w:rPr>
              <w:t xml:space="preserve">（元单位以下数值不一致的除外）。</w:t>
            </w:r>
            <w:r>
              <w:rPr>
                <w:rFonts w:hint="eastAsia" w:ascii="宋体" w:hAnsi="宋体" w:eastAsia="宋体" w:cs="宋体"/>
                <w:color w:val="000000"/>
                <w:sz w:val="21"/>
                <w:szCs w:val="21"/>
                <w:highlight w:val="none"/>
              </w:rPr>
            </w:r>
            <w:r/>
          </w:p>
        </w:tc>
        <w:tc>
          <w:tcPr>
            <w:tcW w:w="678" w:type="dxa"/>
            <w:vAlign w:val="center"/>
            <w:textDirection w:val="lrTb"/>
            <w:noWrap w:val="false"/>
          </w:tcPr>
          <w:p>
            <w:pPr>
              <w:pStyle w:val="801"/>
              <w:spacing w:line="240" w:lineRule="auto"/>
              <w:tabs>
                <w:tab w:val="left" w:pos="1260" w:leader="none"/>
                <w:tab w:val="left" w:pos="16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54"/>
        </w:trPr>
        <w:tc>
          <w:tcPr>
            <w:tcW w:w="251" w:type="dxa"/>
            <w:vAlign w:val="center"/>
            <w:textDirection w:val="lrTb"/>
            <w:noWrap w:val="false"/>
          </w:tcPr>
          <w:p>
            <w:pPr>
              <w:pStyle w:val="801"/>
              <w:jc w:val="center"/>
              <w:spacing w:line="24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eastAsia="zh-CN"/>
              </w:rPr>
            </w:r>
            <w:r/>
          </w:p>
        </w:tc>
        <w:tc>
          <w:tcPr>
            <w:tcW w:w="986" w:type="dxa"/>
            <w:vAlign w:val="center"/>
            <w:textDirection w:val="lrTb"/>
            <w:noWrap w:val="false"/>
          </w:tcPr>
          <w:p>
            <w:pPr>
              <w:pStyle w:val="801"/>
              <w:jc w:val="center"/>
              <w:spacing w:line="240" w:lineRule="auto"/>
              <w:tabs>
                <w:tab w:val="left" w:pos="1260" w:leader="none"/>
                <w:tab w:val="left" w:pos="1620" w:leader="none"/>
              </w:tabs>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rPr>
              <w:t xml:space="preserve">计划工期</w:t>
            </w:r>
            <w:r>
              <w:rPr>
                <w:rFonts w:hint="eastAsia" w:ascii="宋体" w:hAnsi="宋体" w:eastAsia="宋体" w:cs="宋体"/>
                <w:color w:val="000000"/>
                <w:sz w:val="21"/>
                <w:szCs w:val="21"/>
                <w:highlight w:val="none"/>
              </w:rPr>
            </w:r>
            <w:r/>
          </w:p>
        </w:tc>
        <w:tc>
          <w:tcPr>
            <w:tcW w:w="3084" w:type="dxa"/>
            <w:vAlign w:val="center"/>
            <w:textDirection w:val="lrTb"/>
            <w:noWrap w:val="false"/>
          </w:tcPr>
          <w:p>
            <w:pPr>
              <w:pStyle w:val="801"/>
              <w:spacing w:line="240" w:lineRule="auto"/>
              <w:tabs>
                <w:tab w:val="left" w:pos="1260" w:leader="none"/>
                <w:tab w:val="left" w:pos="16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满足招标文件要求</w:t>
            </w:r>
            <w:r>
              <w:rPr>
                <w:rFonts w:hint="eastAsia" w:ascii="宋体" w:hAnsi="宋体" w:eastAsia="宋体" w:cs="宋体"/>
                <w:color w:val="000000"/>
                <w:sz w:val="21"/>
                <w:szCs w:val="21"/>
                <w:highlight w:val="none"/>
              </w:rPr>
            </w:r>
            <w:r/>
          </w:p>
        </w:tc>
        <w:tc>
          <w:tcPr>
            <w:tcW w:w="678" w:type="dxa"/>
            <w:vAlign w:val="center"/>
            <w:textDirection w:val="lrTb"/>
            <w:noWrap w:val="false"/>
          </w:tcPr>
          <w:p>
            <w:pPr>
              <w:pStyle w:val="801"/>
              <w:spacing w:line="240" w:lineRule="auto"/>
              <w:tabs>
                <w:tab w:val="left" w:pos="1260" w:leader="none"/>
                <w:tab w:val="left" w:pos="16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54"/>
        </w:trPr>
        <w:tc>
          <w:tcPr>
            <w:tcW w:w="251" w:type="dxa"/>
            <w:vAlign w:val="center"/>
            <w:textDirection w:val="lrTb"/>
            <w:noWrap w:val="false"/>
          </w:tcPr>
          <w:p>
            <w:pPr>
              <w:pStyle w:val="801"/>
              <w:jc w:val="center"/>
              <w:spacing w:line="24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eastAsia="zh-CN"/>
              </w:rPr>
            </w:r>
            <w:r/>
          </w:p>
        </w:tc>
        <w:tc>
          <w:tcPr>
            <w:tcW w:w="986" w:type="dxa"/>
            <w:vAlign w:val="center"/>
            <w:textDirection w:val="lrTb"/>
            <w:noWrap w:val="false"/>
          </w:tcPr>
          <w:p>
            <w:pPr>
              <w:pStyle w:val="801"/>
              <w:jc w:val="center"/>
              <w:spacing w:line="240" w:lineRule="auto"/>
              <w:tabs>
                <w:tab w:val="left" w:pos="1260" w:leader="none"/>
                <w:tab w:val="left" w:pos="16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质量要求</w:t>
            </w:r>
            <w:r>
              <w:rPr>
                <w:rFonts w:hint="eastAsia" w:ascii="宋体" w:hAnsi="宋体" w:eastAsia="宋体" w:cs="宋体"/>
                <w:color w:val="000000"/>
                <w:sz w:val="21"/>
                <w:szCs w:val="21"/>
                <w:highlight w:val="none"/>
              </w:rPr>
            </w:r>
            <w:r/>
          </w:p>
        </w:tc>
        <w:tc>
          <w:tcPr>
            <w:tcW w:w="3084" w:type="dxa"/>
            <w:vAlign w:val="center"/>
            <w:textDirection w:val="lrTb"/>
            <w:noWrap w:val="false"/>
          </w:tcPr>
          <w:p>
            <w:pPr>
              <w:pStyle w:val="801"/>
              <w:spacing w:line="240" w:lineRule="auto"/>
              <w:tabs>
                <w:tab w:val="left" w:pos="1260" w:leader="none"/>
                <w:tab w:val="left" w:pos="16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满足招标文件要求</w:t>
            </w:r>
            <w:r>
              <w:rPr>
                <w:rFonts w:hint="eastAsia" w:ascii="宋体" w:hAnsi="宋体" w:eastAsia="宋体" w:cs="宋体"/>
                <w:color w:val="000000"/>
                <w:sz w:val="21"/>
                <w:szCs w:val="21"/>
                <w:highlight w:val="none"/>
              </w:rPr>
            </w:r>
            <w:r/>
          </w:p>
        </w:tc>
        <w:tc>
          <w:tcPr>
            <w:tcW w:w="678" w:type="dxa"/>
            <w:vAlign w:val="center"/>
            <w:textDirection w:val="lrTb"/>
            <w:noWrap w:val="false"/>
          </w:tcPr>
          <w:p>
            <w:pPr>
              <w:pStyle w:val="801"/>
              <w:spacing w:line="240" w:lineRule="auto"/>
              <w:tabs>
                <w:tab w:val="left" w:pos="1260" w:leader="none"/>
                <w:tab w:val="left" w:pos="16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54"/>
        </w:trPr>
        <w:tc>
          <w:tcPr>
            <w:tcW w:w="251" w:type="dxa"/>
            <w:vAlign w:val="center"/>
            <w:textDirection w:val="lrTb"/>
            <w:noWrap w:val="false"/>
          </w:tcPr>
          <w:p>
            <w:pPr>
              <w:pStyle w:val="801"/>
              <w:jc w:val="center"/>
              <w:spacing w:line="24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lang w:eastAsia="zh-CN"/>
              </w:rPr>
            </w:r>
            <w:r/>
          </w:p>
        </w:tc>
        <w:tc>
          <w:tcPr>
            <w:tcW w:w="986" w:type="dxa"/>
            <w:vAlign w:val="center"/>
            <w:textDirection w:val="lrTb"/>
            <w:noWrap w:val="false"/>
          </w:tcPr>
          <w:p>
            <w:pPr>
              <w:pStyle w:val="801"/>
              <w:jc w:val="center"/>
              <w:spacing w:line="240" w:lineRule="auto"/>
              <w:tabs>
                <w:tab w:val="left" w:pos="1260" w:leader="none"/>
                <w:tab w:val="left" w:pos="16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安全目标</w:t>
            </w:r>
            <w:r>
              <w:rPr>
                <w:rFonts w:hint="eastAsia" w:ascii="宋体" w:hAnsi="宋体" w:eastAsia="宋体" w:cs="宋体"/>
                <w:color w:val="000000"/>
                <w:sz w:val="21"/>
                <w:szCs w:val="21"/>
                <w:highlight w:val="none"/>
              </w:rPr>
            </w:r>
            <w:r/>
          </w:p>
        </w:tc>
        <w:tc>
          <w:tcPr>
            <w:tcW w:w="3084" w:type="dxa"/>
            <w:vAlign w:val="center"/>
            <w:textDirection w:val="lrTb"/>
            <w:noWrap w:val="false"/>
          </w:tcPr>
          <w:p>
            <w:pPr>
              <w:pStyle w:val="801"/>
              <w:spacing w:line="240" w:lineRule="auto"/>
              <w:tabs>
                <w:tab w:val="left" w:pos="1260" w:leader="none"/>
                <w:tab w:val="left" w:pos="16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满足招标文件要求</w:t>
            </w:r>
            <w:r>
              <w:rPr>
                <w:rFonts w:hint="eastAsia" w:ascii="宋体" w:hAnsi="宋体" w:eastAsia="宋体" w:cs="宋体"/>
                <w:color w:val="000000"/>
                <w:sz w:val="21"/>
                <w:szCs w:val="21"/>
                <w:highlight w:val="none"/>
              </w:rPr>
            </w:r>
            <w:r/>
          </w:p>
        </w:tc>
        <w:tc>
          <w:tcPr>
            <w:tcW w:w="678" w:type="dxa"/>
            <w:vAlign w:val="center"/>
            <w:textDirection w:val="lrTb"/>
            <w:noWrap w:val="false"/>
          </w:tcPr>
          <w:p>
            <w:pPr>
              <w:pStyle w:val="801"/>
              <w:spacing w:line="240" w:lineRule="auto"/>
              <w:tabs>
                <w:tab w:val="left" w:pos="1260" w:leader="none"/>
                <w:tab w:val="left" w:pos="16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702"/>
        </w:trPr>
        <w:tc>
          <w:tcPr>
            <w:tcW w:w="251" w:type="dxa"/>
            <w:vAlign w:val="center"/>
            <w:textDirection w:val="lrTb"/>
            <w:noWrap w:val="false"/>
          </w:tcPr>
          <w:p>
            <w:pPr>
              <w:pStyle w:val="801"/>
              <w:jc w:val="center"/>
              <w:spacing w:line="24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lang w:eastAsia="zh-CN"/>
              </w:rPr>
            </w:r>
            <w:r/>
          </w:p>
        </w:tc>
        <w:tc>
          <w:tcPr>
            <w:tcW w:w="986" w:type="dxa"/>
            <w:vAlign w:val="center"/>
            <w:textDirection w:val="lrTb"/>
            <w:noWrap w:val="false"/>
          </w:tcPr>
          <w:p>
            <w:pPr>
              <w:pStyle w:val="801"/>
              <w:jc w:val="center"/>
              <w:spacing w:line="240" w:lineRule="auto"/>
              <w:tabs>
                <w:tab w:val="left" w:pos="1260" w:leader="none"/>
                <w:tab w:val="left" w:pos="16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是否允许采用分包方式履行合同</w:t>
            </w:r>
            <w:r>
              <w:rPr>
                <w:rFonts w:hint="eastAsia" w:ascii="宋体" w:hAnsi="宋体" w:eastAsia="宋体" w:cs="宋体"/>
                <w:color w:val="000000"/>
                <w:sz w:val="21"/>
                <w:szCs w:val="21"/>
                <w:highlight w:val="none"/>
              </w:rPr>
            </w:r>
            <w:r/>
          </w:p>
        </w:tc>
        <w:tc>
          <w:tcPr>
            <w:tcW w:w="3084" w:type="dxa"/>
            <w:vAlign w:val="center"/>
            <w:textDirection w:val="lrTb"/>
            <w:noWrap w:val="false"/>
          </w:tcPr>
          <w:p>
            <w:pPr>
              <w:pStyle w:val="801"/>
              <w:rPr>
                <w:rFonts w:ascii="宋体" w:hAnsi="宋体" w:eastAsia="宋体" w:cs="宋体"/>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不允许。</w:t>
            </w:r>
            <w:r>
              <w:rPr>
                <w:rFonts w:hint="eastAsia" w:ascii="宋体" w:hAnsi="宋体" w:eastAsia="宋体" w:cs="宋体"/>
                <w:color w:val="000000"/>
                <w:sz w:val="21"/>
                <w:szCs w:val="21"/>
                <w:highlight w:val="none"/>
              </w:rPr>
              <w:t xml:space="preserve">不允许违法分包，</w:t>
            </w:r>
            <w:r>
              <w:rPr>
                <w:rFonts w:hint="eastAsia" w:ascii="宋体" w:hAnsi="宋体" w:eastAsia="宋体" w:cs="宋体"/>
                <w:color w:val="000000"/>
                <w:sz w:val="21"/>
                <w:szCs w:val="21"/>
                <w:highlight w:val="none"/>
                <w:lang w:val="en-US" w:eastAsia="zh-CN"/>
              </w:rPr>
              <w:t xml:space="preserve">分包管理按照《江苏省公路水运工程施工分包管理实施细则》（苏交规【2025】2号文）执行</w:t>
            </w:r>
            <w:r>
              <w:rPr>
                <w:rFonts w:hint="eastAsia" w:ascii="宋体" w:hAnsi="宋体" w:eastAsia="宋体" w:cs="宋体"/>
                <w:color w:val="000000"/>
                <w:sz w:val="21"/>
                <w:szCs w:val="21"/>
                <w:highlight w:val="none"/>
              </w:rPr>
              <w:t xml:space="preserve">。</w:t>
            </w:r>
            <w:r>
              <w:rPr>
                <w:rFonts w:hint="eastAsia" w:ascii="宋体" w:hAnsi="宋体" w:eastAsia="宋体" w:cs="宋体"/>
                <w:b/>
                <w:bCs/>
                <w:color w:val="000000"/>
                <w:sz w:val="21"/>
                <w:szCs w:val="21"/>
                <w:highlight w:val="none"/>
                <w:lang w:val="en-US" w:eastAsia="zh-CN"/>
              </w:rPr>
              <w:t xml:space="preserve">(</w:t>
            </w:r>
            <w:r>
              <w:rPr>
                <w:rFonts w:hint="eastAsia" w:ascii="宋体" w:hAnsi="宋体" w:eastAsia="宋体" w:cs="宋体"/>
                <w:color w:val="000000"/>
                <w:sz w:val="21"/>
                <w:szCs w:val="21"/>
                <w:highlight w:val="none"/>
                <w:lang w:val="zh-CN"/>
              </w:rPr>
              <w:t xml:space="preserve">提供</w:t>
            </w:r>
            <w:r>
              <w:rPr>
                <w:rFonts w:hint="eastAsia" w:ascii="宋体" w:hAnsi="宋体" w:eastAsia="宋体" w:cs="宋体"/>
                <w:color w:val="000000"/>
                <w:sz w:val="21"/>
                <w:szCs w:val="21"/>
                <w:highlight w:val="none"/>
                <w:lang w:val="en-US" w:eastAsia="zh-CN"/>
              </w:rPr>
              <w:t xml:space="preserve">承诺书</w:t>
            </w:r>
            <w:r>
              <w:rPr>
                <w:rFonts w:hint="eastAsia" w:ascii="宋体" w:hAnsi="宋体" w:eastAsia="宋体" w:cs="宋体"/>
                <w:color w:val="000000"/>
                <w:sz w:val="21"/>
                <w:szCs w:val="21"/>
                <w:highlight w:val="none"/>
                <w:lang w:val="zh-CN"/>
              </w:rPr>
              <w:t xml:space="preserve">并加盖投标人CA电子签章</w:t>
            </w:r>
            <w:r>
              <w:rPr>
                <w:rFonts w:hint="eastAsia" w:ascii="宋体" w:hAnsi="宋体" w:eastAsia="宋体" w:cs="宋体"/>
                <w:b/>
                <w:bCs/>
                <w:color w:val="000000"/>
                <w:sz w:val="21"/>
                <w:szCs w:val="21"/>
                <w:highlight w:val="none"/>
                <w:lang w:val="en-US" w:eastAsia="zh-CN"/>
              </w:rPr>
              <w:t xml:space="preserve">）</w:t>
            </w:r>
            <w:r>
              <w:rPr>
                <w:rFonts w:ascii="宋体" w:hAnsi="宋体" w:eastAsia="宋体" w:cs="宋体"/>
                <w:color w:val="000000"/>
                <w:sz w:val="21"/>
                <w:szCs w:val="21"/>
                <w:highlight w:val="none"/>
                <w:lang w:val="en-US" w:eastAsia="zh-CN"/>
              </w:rPr>
            </w:r>
            <w:r/>
          </w:p>
        </w:tc>
        <w:tc>
          <w:tcPr>
            <w:tcW w:w="678" w:type="dxa"/>
            <w:vAlign w:val="center"/>
            <w:textDirection w:val="lrTb"/>
            <w:noWrap w:val="false"/>
          </w:tcPr>
          <w:p>
            <w:pPr>
              <w:pStyle w:val="801"/>
              <w:spacing w:line="240" w:lineRule="auto"/>
              <w:tabs>
                <w:tab w:val="left" w:pos="1260" w:leader="none"/>
                <w:tab w:val="left" w:pos="16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54"/>
        </w:trPr>
        <w:tc>
          <w:tcPr>
            <w:tcW w:w="251" w:type="dxa"/>
            <w:vAlign w:val="center"/>
            <w:textDirection w:val="lrTb"/>
            <w:noWrap w:val="false"/>
          </w:tcPr>
          <w:p>
            <w:pPr>
              <w:pStyle w:val="801"/>
              <w:jc w:val="center"/>
              <w:spacing w:line="24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lang w:eastAsia="zh-CN"/>
              </w:rPr>
            </w:r>
            <w:r/>
          </w:p>
        </w:tc>
        <w:tc>
          <w:tcPr>
            <w:tcW w:w="986" w:type="dxa"/>
            <w:vAlign w:val="center"/>
            <w:textDirection w:val="lrTb"/>
            <w:noWrap w:val="false"/>
          </w:tcPr>
          <w:p>
            <w:pPr>
              <w:pStyle w:val="801"/>
              <w:jc w:val="center"/>
              <w:spacing w:line="240" w:lineRule="auto"/>
              <w:tabs>
                <w:tab w:val="left" w:pos="1260" w:leader="none"/>
                <w:tab w:val="left" w:pos="16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附加条件</w:t>
            </w:r>
            <w:r>
              <w:rPr>
                <w:rFonts w:hint="eastAsia" w:ascii="宋体" w:hAnsi="宋体" w:eastAsia="宋体" w:cs="宋体"/>
                <w:color w:val="000000"/>
                <w:sz w:val="21"/>
                <w:szCs w:val="21"/>
                <w:highlight w:val="none"/>
              </w:rPr>
            </w:r>
            <w:r/>
          </w:p>
        </w:tc>
        <w:tc>
          <w:tcPr>
            <w:tcW w:w="3084" w:type="dxa"/>
            <w:vAlign w:val="center"/>
            <w:textDirection w:val="lrTb"/>
            <w:noWrap w:val="false"/>
          </w:tcPr>
          <w:p>
            <w:pPr>
              <w:pStyle w:val="801"/>
              <w:spacing w:line="240" w:lineRule="auto"/>
              <w:tabs>
                <w:tab w:val="left" w:pos="1260" w:leader="none"/>
                <w:tab w:val="left" w:pos="16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投标文件未含有招标人不能接受的附加条件</w:t>
            </w:r>
            <w:r>
              <w:rPr>
                <w:rFonts w:hint="eastAsia" w:ascii="宋体" w:hAnsi="宋体" w:eastAsia="宋体" w:cs="宋体"/>
                <w:color w:val="000000"/>
                <w:sz w:val="21"/>
                <w:szCs w:val="21"/>
                <w:highlight w:val="none"/>
              </w:rPr>
            </w:r>
            <w:r/>
          </w:p>
        </w:tc>
        <w:tc>
          <w:tcPr>
            <w:tcW w:w="678" w:type="dxa"/>
            <w:vAlign w:val="center"/>
            <w:textDirection w:val="lrTb"/>
            <w:noWrap w:val="false"/>
          </w:tcPr>
          <w:p>
            <w:pPr>
              <w:pStyle w:val="801"/>
              <w:spacing w:line="240" w:lineRule="auto"/>
              <w:tabs>
                <w:tab w:val="left" w:pos="1260" w:leader="none"/>
                <w:tab w:val="left" w:pos="16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54"/>
        </w:trPr>
        <w:tc>
          <w:tcPr>
            <w:tcW w:w="251" w:type="dxa"/>
            <w:vAlign w:val="center"/>
            <w:textDirection w:val="lrTb"/>
            <w:noWrap w:val="false"/>
          </w:tcPr>
          <w:p>
            <w:pPr>
              <w:pStyle w:val="801"/>
              <w:jc w:val="center"/>
              <w:spacing w:line="24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0</w:t>
            </w:r>
            <w:r>
              <w:rPr>
                <w:rFonts w:hint="eastAsia" w:ascii="宋体" w:hAnsi="宋体" w:eastAsia="宋体" w:cs="宋体"/>
                <w:color w:val="000000"/>
                <w:sz w:val="21"/>
                <w:szCs w:val="21"/>
                <w:highlight w:val="none"/>
                <w:lang w:eastAsia="zh-CN"/>
              </w:rPr>
            </w:r>
            <w:r/>
          </w:p>
        </w:tc>
        <w:tc>
          <w:tcPr>
            <w:tcW w:w="986" w:type="dxa"/>
            <w:vAlign w:val="center"/>
            <w:textDirection w:val="lrTb"/>
            <w:noWrap w:val="false"/>
          </w:tcPr>
          <w:p>
            <w:pPr>
              <w:pStyle w:val="801"/>
              <w:jc w:val="center"/>
              <w:spacing w:line="240" w:lineRule="auto"/>
              <w:tabs>
                <w:tab w:val="left" w:pos="1260" w:leader="none"/>
                <w:tab w:val="left" w:pos="16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其他无效情形</w:t>
            </w:r>
            <w:r>
              <w:rPr>
                <w:rFonts w:hint="eastAsia" w:ascii="宋体" w:hAnsi="宋体" w:eastAsia="宋体" w:cs="宋体"/>
                <w:color w:val="000000"/>
                <w:sz w:val="21"/>
                <w:szCs w:val="21"/>
                <w:highlight w:val="none"/>
              </w:rPr>
            </w:r>
            <w:r/>
          </w:p>
        </w:tc>
        <w:tc>
          <w:tcPr>
            <w:tcW w:w="3084" w:type="dxa"/>
            <w:vAlign w:val="center"/>
            <w:textDirection w:val="lrTb"/>
            <w:noWrap w:val="false"/>
          </w:tcPr>
          <w:p>
            <w:pPr>
              <w:pStyle w:val="801"/>
              <w:spacing w:line="240" w:lineRule="auto"/>
              <w:tabs>
                <w:tab w:val="left" w:pos="1260" w:leader="none"/>
                <w:tab w:val="left" w:pos="16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无法律、法规和招标文件规定的其他无效情形</w:t>
            </w:r>
            <w:r>
              <w:rPr>
                <w:rFonts w:hint="eastAsia" w:ascii="宋体" w:hAnsi="宋体" w:eastAsia="宋体" w:cs="宋体"/>
                <w:color w:val="000000"/>
                <w:sz w:val="21"/>
                <w:szCs w:val="21"/>
                <w:highlight w:val="none"/>
              </w:rPr>
            </w:r>
            <w:r/>
          </w:p>
        </w:tc>
        <w:tc>
          <w:tcPr>
            <w:tcW w:w="678" w:type="dxa"/>
            <w:vAlign w:val="center"/>
            <w:textDirection w:val="lrTb"/>
            <w:noWrap w:val="false"/>
          </w:tcPr>
          <w:p>
            <w:pPr>
              <w:pStyle w:val="801"/>
              <w:spacing w:line="240" w:lineRule="auto"/>
              <w:tabs>
                <w:tab w:val="left" w:pos="1260" w:leader="none"/>
                <w:tab w:val="left" w:pos="16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54"/>
        </w:trPr>
        <w:tc>
          <w:tcPr>
            <w:gridSpan w:val="3"/>
            <w:tcW w:w="7831" w:type="dxa"/>
            <w:vAlign w:val="center"/>
            <w:textDirection w:val="lrTb"/>
            <w:noWrap w:val="false"/>
          </w:tcPr>
          <w:p>
            <w:pPr>
              <w:pStyle w:val="801"/>
              <w:jc w:val="center"/>
              <w:spacing w:line="240" w:lineRule="auto"/>
              <w:tabs>
                <w:tab w:val="left" w:pos="1260" w:leader="none"/>
                <w:tab w:val="left" w:pos="1620" w:leader="none"/>
              </w:tabs>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结论（通过或未通过）</w:t>
            </w:r>
            <w:r>
              <w:rPr>
                <w:rFonts w:hint="eastAsia" w:ascii="宋体" w:hAnsi="宋体" w:eastAsia="宋体" w:cs="宋体"/>
                <w:color w:val="000000"/>
                <w:sz w:val="21"/>
                <w:szCs w:val="21"/>
                <w:highlight w:val="none"/>
              </w:rPr>
            </w:r>
            <w:r/>
          </w:p>
        </w:tc>
        <w:tc>
          <w:tcPr>
            <w:tcW w:w="678" w:type="dxa"/>
            <w:vAlign w:val="center"/>
            <w:textDirection w:val="lrTb"/>
            <w:noWrap w:val="false"/>
          </w:tcPr>
          <w:p>
            <w:pPr>
              <w:pStyle w:val="801"/>
              <w:spacing w:line="240" w:lineRule="auto"/>
              <w:tabs>
                <w:tab w:val="left" w:pos="1260" w:leader="none"/>
                <w:tab w:val="left" w:pos="16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bl>
    <w:p>
      <w:pPr>
        <w:pStyle w:val="801"/>
        <w:jc w:val="left"/>
        <w:pageBreakBefore w:val="0"/>
        <w:spacing w:line="240" w:lineRule="auto"/>
        <w:widowControl w:val="off"/>
        <w:tabs>
          <w:tab w:val="left" w:pos="1260" w:leader="none"/>
          <w:tab w:val="left" w:pos="1620" w:leader="none"/>
        </w:tabs>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注：1、符合招标文件要求用“√”表示，不符合用“×”表示。有一项不符合要求，结论为未通过。</w:t>
      </w:r>
      <w:r>
        <w:rPr>
          <w:rFonts w:hint="eastAsia" w:ascii="宋体" w:hAnsi="宋体" w:eastAsia="宋体" w:cs="宋体"/>
          <w:b/>
          <w:color w:val="000000"/>
          <w:sz w:val="21"/>
          <w:szCs w:val="21"/>
          <w:highlight w:val="none"/>
        </w:rPr>
      </w:r>
      <w:r/>
    </w:p>
    <w:p>
      <w:pPr>
        <w:pStyle w:val="801"/>
        <w:ind w:firstLine="422"/>
        <w:jc w:val="left"/>
        <w:pageBreakBefore w:val="0"/>
        <w:spacing w:line="240" w:lineRule="auto"/>
        <w:widowControl w:val="off"/>
        <w:tabs>
          <w:tab w:val="left" w:pos="1260" w:leader="none"/>
          <w:tab w:val="left" w:pos="1620" w:leader="none"/>
        </w:tabs>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2、有下列情形之一的，视为投标人相互串通：</w:t>
      </w:r>
      <w:r>
        <w:rPr>
          <w:rFonts w:hint="eastAsia" w:ascii="宋体" w:hAnsi="宋体" w:eastAsia="宋体" w:cs="宋体"/>
          <w:b/>
          <w:color w:val="000000"/>
          <w:sz w:val="21"/>
          <w:szCs w:val="21"/>
          <w:highlight w:val="none"/>
        </w:rPr>
      </w:r>
      <w:r/>
    </w:p>
    <w:p>
      <w:pPr>
        <w:pStyle w:val="801"/>
        <w:ind w:firstLine="422"/>
        <w:jc w:val="left"/>
        <w:pageBreakBefore w:val="0"/>
        <w:spacing w:line="240" w:lineRule="auto"/>
        <w:widowControl w:val="off"/>
        <w:tabs>
          <w:tab w:val="left" w:pos="1260" w:leader="none"/>
          <w:tab w:val="left" w:pos="1620" w:leader="none"/>
        </w:tabs>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（1）不同投标人的投标文件由同一单位或者个人编制；</w:t>
      </w:r>
      <w:r>
        <w:rPr>
          <w:rFonts w:hint="eastAsia" w:ascii="宋体" w:hAnsi="宋体" w:eastAsia="宋体" w:cs="宋体"/>
          <w:b/>
          <w:color w:val="000000"/>
          <w:sz w:val="21"/>
          <w:szCs w:val="21"/>
          <w:highlight w:val="none"/>
        </w:rPr>
      </w:r>
      <w:r/>
    </w:p>
    <w:p>
      <w:pPr>
        <w:pStyle w:val="801"/>
        <w:ind w:firstLine="422"/>
        <w:jc w:val="left"/>
        <w:pageBreakBefore w:val="0"/>
        <w:spacing w:line="240" w:lineRule="auto"/>
        <w:widowControl w:val="off"/>
        <w:tabs>
          <w:tab w:val="left" w:pos="1260" w:leader="none"/>
          <w:tab w:val="left" w:pos="1620" w:leader="none"/>
        </w:tabs>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（2）不同投标人委托同一单位或者个人办理参与投标事宜；</w:t>
      </w:r>
      <w:r>
        <w:rPr>
          <w:rFonts w:hint="eastAsia" w:ascii="宋体" w:hAnsi="宋体" w:eastAsia="宋体" w:cs="宋体"/>
          <w:b/>
          <w:color w:val="000000"/>
          <w:sz w:val="21"/>
          <w:szCs w:val="21"/>
          <w:highlight w:val="none"/>
        </w:rPr>
      </w:r>
      <w:r/>
    </w:p>
    <w:p>
      <w:pPr>
        <w:pStyle w:val="801"/>
        <w:ind w:firstLine="422"/>
        <w:jc w:val="left"/>
        <w:pageBreakBefore w:val="0"/>
        <w:spacing w:line="240" w:lineRule="auto"/>
        <w:widowControl w:val="off"/>
        <w:tabs>
          <w:tab w:val="left" w:pos="1260" w:leader="none"/>
          <w:tab w:val="left" w:pos="1620" w:leader="none"/>
        </w:tabs>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（3）不同投标人的投标文件载明的项目管理成员或者联系人员为同一人；</w:t>
      </w:r>
      <w:r>
        <w:rPr>
          <w:rFonts w:hint="eastAsia" w:ascii="宋体" w:hAnsi="宋体" w:eastAsia="宋体" w:cs="宋体"/>
          <w:b/>
          <w:color w:val="000000"/>
          <w:sz w:val="21"/>
          <w:szCs w:val="21"/>
          <w:highlight w:val="none"/>
        </w:rPr>
      </w:r>
      <w:r/>
    </w:p>
    <w:p>
      <w:pPr>
        <w:pStyle w:val="801"/>
        <w:ind w:firstLine="422"/>
        <w:jc w:val="left"/>
        <w:pageBreakBefore w:val="0"/>
        <w:spacing w:line="240" w:lineRule="auto"/>
        <w:widowControl w:val="off"/>
        <w:tabs>
          <w:tab w:val="left" w:pos="1260" w:leader="none"/>
          <w:tab w:val="left" w:pos="1620" w:leader="none"/>
        </w:tabs>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（4）不同投标人的投标文件异常一致或者报价呈规律性差异；</w:t>
      </w:r>
      <w:r>
        <w:rPr>
          <w:rFonts w:hint="eastAsia" w:ascii="宋体" w:hAnsi="宋体" w:eastAsia="宋体" w:cs="宋体"/>
          <w:b/>
          <w:color w:val="000000"/>
          <w:sz w:val="21"/>
          <w:szCs w:val="21"/>
          <w:highlight w:val="none"/>
        </w:rPr>
      </w:r>
      <w:r/>
    </w:p>
    <w:p>
      <w:pPr>
        <w:pStyle w:val="801"/>
        <w:ind w:firstLine="422"/>
        <w:jc w:val="left"/>
        <w:pageBreakBefore w:val="0"/>
        <w:spacing w:line="240" w:lineRule="auto"/>
        <w:widowControl w:val="off"/>
        <w:tabs>
          <w:tab w:val="left" w:pos="1260" w:leader="none"/>
          <w:tab w:val="left" w:pos="1620" w:leader="none"/>
        </w:tabs>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（5）不同投标人的投标文件相互混装；</w:t>
      </w:r>
      <w:r>
        <w:rPr>
          <w:rFonts w:hint="eastAsia" w:ascii="宋体" w:hAnsi="宋体" w:eastAsia="宋体" w:cs="宋体"/>
          <w:b/>
          <w:color w:val="000000"/>
          <w:sz w:val="21"/>
          <w:szCs w:val="21"/>
          <w:highlight w:val="none"/>
        </w:rPr>
      </w:r>
      <w:r/>
    </w:p>
    <w:p>
      <w:pPr>
        <w:pStyle w:val="801"/>
        <w:ind w:firstLine="422"/>
        <w:jc w:val="left"/>
        <w:pageBreakBefore w:val="0"/>
        <w:spacing w:line="240" w:lineRule="auto"/>
        <w:widowControl w:val="off"/>
        <w:tabs>
          <w:tab w:val="left" w:pos="1260" w:leader="none"/>
          <w:tab w:val="left" w:pos="1620" w:leader="none"/>
        </w:tabs>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3、有下列情形之一的，属于提供虚假材料谋取中标的行为：</w:t>
      </w:r>
      <w:r>
        <w:rPr>
          <w:rFonts w:hint="eastAsia" w:ascii="宋体" w:hAnsi="宋体" w:eastAsia="宋体" w:cs="宋体"/>
          <w:b/>
          <w:color w:val="000000"/>
          <w:sz w:val="21"/>
          <w:szCs w:val="21"/>
          <w:highlight w:val="none"/>
        </w:rPr>
      </w:r>
      <w:r/>
    </w:p>
    <w:p>
      <w:pPr>
        <w:pStyle w:val="801"/>
        <w:ind w:firstLine="422"/>
        <w:jc w:val="left"/>
        <w:pageBreakBefore w:val="0"/>
        <w:spacing w:line="240" w:lineRule="auto"/>
        <w:widowControl w:val="off"/>
        <w:tabs>
          <w:tab w:val="left" w:pos="1260" w:leader="none"/>
          <w:tab w:val="left" w:pos="1620" w:leader="none"/>
        </w:tabs>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（1）使用伪造、变造的许可证件；</w:t>
      </w:r>
      <w:r>
        <w:rPr>
          <w:rFonts w:hint="eastAsia" w:ascii="宋体" w:hAnsi="宋体" w:eastAsia="宋体" w:cs="宋体"/>
          <w:b/>
          <w:color w:val="000000"/>
          <w:sz w:val="21"/>
          <w:szCs w:val="21"/>
          <w:highlight w:val="none"/>
        </w:rPr>
      </w:r>
      <w:r/>
    </w:p>
    <w:p>
      <w:pPr>
        <w:pStyle w:val="801"/>
        <w:ind w:firstLine="422"/>
        <w:jc w:val="left"/>
        <w:pageBreakBefore w:val="0"/>
        <w:spacing w:line="240" w:lineRule="auto"/>
        <w:widowControl w:val="off"/>
        <w:tabs>
          <w:tab w:val="left" w:pos="1260" w:leader="none"/>
          <w:tab w:val="left" w:pos="1620" w:leader="none"/>
        </w:tabs>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（2）提供虚假的财务状况或者业绩；</w:t>
      </w:r>
      <w:r>
        <w:rPr>
          <w:rFonts w:hint="eastAsia" w:ascii="宋体" w:hAnsi="宋体" w:eastAsia="宋体" w:cs="宋体"/>
          <w:b/>
          <w:color w:val="000000"/>
          <w:sz w:val="21"/>
          <w:szCs w:val="21"/>
          <w:highlight w:val="none"/>
        </w:rPr>
      </w:r>
      <w:r/>
    </w:p>
    <w:p>
      <w:pPr>
        <w:pStyle w:val="801"/>
        <w:ind w:firstLine="422"/>
        <w:jc w:val="left"/>
        <w:pageBreakBefore w:val="0"/>
        <w:spacing w:line="240" w:lineRule="auto"/>
        <w:widowControl w:val="off"/>
        <w:tabs>
          <w:tab w:val="left" w:pos="1260" w:leader="none"/>
          <w:tab w:val="left" w:pos="1620" w:leader="none"/>
        </w:tabs>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（3）提供虚假的项目经理或者主要技术人员简历、劳动关系证明；</w:t>
      </w:r>
      <w:r>
        <w:rPr>
          <w:rFonts w:hint="eastAsia" w:ascii="宋体" w:hAnsi="宋体" w:eastAsia="宋体" w:cs="宋体"/>
          <w:b/>
          <w:color w:val="000000"/>
          <w:sz w:val="21"/>
          <w:szCs w:val="21"/>
          <w:highlight w:val="none"/>
        </w:rPr>
      </w:r>
      <w:r/>
    </w:p>
    <w:p>
      <w:pPr>
        <w:pStyle w:val="801"/>
        <w:ind w:firstLine="422"/>
        <w:jc w:val="left"/>
        <w:pageBreakBefore w:val="0"/>
        <w:spacing w:line="240" w:lineRule="auto"/>
        <w:widowControl w:val="off"/>
        <w:tabs>
          <w:tab w:val="left" w:pos="1260" w:leader="none"/>
          <w:tab w:val="left" w:pos="1620" w:leader="none"/>
        </w:tabs>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（4）提供虚假的信用状况；</w:t>
      </w:r>
      <w:r>
        <w:rPr>
          <w:rFonts w:hint="eastAsia" w:ascii="宋体" w:hAnsi="宋体" w:eastAsia="宋体" w:cs="宋体"/>
          <w:b/>
          <w:color w:val="000000"/>
          <w:sz w:val="21"/>
          <w:szCs w:val="21"/>
          <w:highlight w:val="none"/>
        </w:rPr>
      </w:r>
      <w:r/>
    </w:p>
    <w:p>
      <w:pPr>
        <w:pStyle w:val="801"/>
        <w:ind w:firstLine="422"/>
        <w:jc w:val="left"/>
        <w:pageBreakBefore w:val="0"/>
        <w:spacing w:line="240" w:lineRule="auto"/>
        <w:widowControl w:val="off"/>
        <w:tabs>
          <w:tab w:val="left" w:pos="1260" w:leader="none"/>
          <w:tab w:val="left" w:pos="1620" w:leader="none"/>
        </w:tabs>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（5）其他弄虚作假的行为。</w:t>
      </w:r>
      <w:r>
        <w:rPr>
          <w:rFonts w:hint="eastAsia" w:ascii="宋体" w:hAnsi="宋体" w:eastAsia="宋体" w:cs="宋体"/>
          <w:b/>
          <w:color w:val="000000"/>
          <w:sz w:val="21"/>
          <w:szCs w:val="21"/>
          <w:highlight w:val="none"/>
        </w:rPr>
      </w:r>
      <w:r/>
    </w:p>
    <w:p>
      <w:pPr>
        <w:pStyle w:val="802"/>
        <w:pageBreakBefore w:val="0"/>
        <w:spacing w:before="0" w:after="0" w:line="240" w:lineRule="auto"/>
        <w:widowControl w:val="off"/>
        <w:tabs>
          <w:tab w:val="left" w:pos="1440" w:leader="none"/>
        </w:tabs>
        <w:rPr>
          <w:rFonts w:hint="eastAsia" w:ascii="宋体" w:hAnsi="宋体" w:eastAsia="宋体" w:cs="宋体"/>
          <w:color w:val="000000"/>
          <w:sz w:val="21"/>
          <w:szCs w:val="21"/>
          <w:highlight w:val="none"/>
        </w:rPr>
        <w:sectPr>
          <w:footerReference w:type="default" r:id="rId13"/>
          <w:footnotePr/>
          <w:endnotePr/>
          <w:type w:val="nextPage"/>
          <w:pgSz w:w="11906" w:h="16838" w:orient="portrait"/>
          <w:pgMar w:top="1417" w:right="1417" w:bottom="1417" w:left="1417" w:header="851" w:footer="992" w:gutter="0"/>
          <w:cols w:num="1" w:sep="0" w:space="1701" w:equalWidth="1"/>
          <w:docGrid w:linePitch="360"/>
        </w:sectPr>
      </w:pPr>
      <w:r>
        <w:rPr>
          <w:rFonts w:hint="eastAsia" w:ascii="宋体" w:hAnsi="宋体" w:eastAsia="宋体" w:cs="宋体"/>
          <w:color w:val="000000"/>
          <w:sz w:val="21"/>
          <w:szCs w:val="21"/>
          <w:highlight w:val="none"/>
        </w:rPr>
      </w:r>
      <w:r/>
    </w:p>
    <w:p>
      <w:pPr>
        <w:pStyle w:val="856"/>
        <w:jc w:val="center"/>
        <w:spacing w:line="360" w:lineRule="auto"/>
        <w:rPr>
          <w:rFonts w:hint="eastAsia" w:ascii="宋体" w:hAnsi="宋体" w:eastAsia="宋体" w:cs="宋体"/>
          <w:b/>
          <w:color w:val="000000"/>
          <w:sz w:val="44"/>
          <w:szCs w:val="44"/>
          <w:highlight w:val="none"/>
        </w:rPr>
        <w:outlineLvl w:val="0"/>
      </w:pPr>
      <w:r/>
      <w:bookmarkStart w:id="137" w:name="_Toc211090862"/>
      <w:r>
        <w:rPr>
          <w:rFonts w:hint="eastAsia" w:ascii="宋体" w:hAnsi="宋体" w:eastAsia="宋体" w:cs="宋体"/>
          <w:b/>
          <w:color w:val="000000"/>
          <w:sz w:val="44"/>
          <w:szCs w:val="44"/>
          <w:highlight w:val="none"/>
        </w:rPr>
        <w:t xml:space="preserve">第四章  合同条款及格式</w:t>
      </w:r>
      <w:bookmarkEnd w:id="137"/>
      <w:r>
        <w:rPr>
          <w:rFonts w:hint="eastAsia" w:ascii="宋体" w:hAnsi="宋体" w:eastAsia="宋体" w:cs="宋体"/>
          <w:b/>
          <w:color w:val="000000"/>
          <w:sz w:val="44"/>
          <w:szCs w:val="44"/>
          <w:highlight w:val="none"/>
        </w:rPr>
      </w:r>
      <w:r/>
    </w:p>
    <w:p>
      <w:pPr>
        <w:pStyle w:val="801"/>
        <w:ind w:firstLine="560"/>
        <w:spacing w:line="360" w:lineRule="auto"/>
        <w:tabs>
          <w:tab w:val="left" w:pos="180"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注:以下为招标人提出中标后签订本项目合同的条款，投标人必须实质性响应，中标投标人不得提出实质性的修改，关于专用条款将由</w:t>
      </w:r>
      <w:r>
        <w:rPr>
          <w:rFonts w:hint="eastAsia" w:ascii="宋体" w:hAnsi="宋体" w:eastAsia="宋体" w:cs="宋体"/>
          <w:b/>
          <w:color w:val="000000"/>
          <w:sz w:val="24"/>
          <w:szCs w:val="24"/>
          <w:highlight w:val="none"/>
          <w:lang w:val="en-US" w:eastAsia="zh-CN"/>
        </w:rPr>
        <w:t xml:space="preserve">发包人</w:t>
      </w:r>
      <w:r>
        <w:rPr>
          <w:rFonts w:hint="eastAsia" w:ascii="宋体" w:hAnsi="宋体" w:eastAsia="宋体" w:cs="宋体"/>
          <w:b/>
          <w:color w:val="000000"/>
          <w:sz w:val="24"/>
          <w:szCs w:val="24"/>
          <w:highlight w:val="none"/>
        </w:rPr>
        <w:t xml:space="preserve">与中标投标人结合本项目具体情况协商后签订。</w:t>
      </w:r>
      <w:r>
        <w:rPr>
          <w:rFonts w:hint="eastAsia" w:ascii="宋体" w:hAnsi="宋体" w:eastAsia="宋体" w:cs="宋体"/>
          <w:b/>
          <w:color w:val="000000"/>
          <w:sz w:val="24"/>
          <w:szCs w:val="24"/>
          <w:highlight w:val="none"/>
        </w:rPr>
      </w:r>
      <w:r/>
    </w:p>
    <w:p>
      <w:pPr>
        <w:pStyle w:val="801"/>
        <w:jc w:val="center"/>
        <w:spacing w:line="360" w:lineRule="auto"/>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第一节 通用合同条款</w:t>
      </w:r>
      <w:r>
        <w:rPr>
          <w:rFonts w:hint="eastAsia" w:ascii="宋体" w:hAnsi="宋体" w:eastAsia="宋体" w:cs="宋体"/>
          <w:b/>
          <w:color w:val="000000"/>
          <w:sz w:val="32"/>
          <w:szCs w:val="32"/>
          <w:highlight w:val="none"/>
        </w:rPr>
      </w:r>
      <w:r/>
    </w:p>
    <w:p>
      <w:pPr>
        <w:pStyle w:val="801"/>
        <w:jc w:val="center"/>
        <w:spacing w:line="360" w:lineRule="auto"/>
        <w:rPr>
          <w:rFonts w:hint="eastAsia" w:ascii="宋体" w:hAnsi="宋体" w:eastAsia="宋体" w:cs="宋体"/>
          <w:b/>
          <w:color w:val="000000"/>
          <w:sz w:val="24"/>
          <w:highlight w:val="none"/>
        </w:rPr>
      </w:pPr>
      <w:r>
        <w:rPr>
          <w:rFonts w:hint="eastAsia" w:ascii="宋体" w:hAnsi="宋体" w:eastAsia="宋体" w:cs="宋体"/>
          <w:b/>
          <w:bCs/>
          <w:color w:val="000000"/>
          <w:sz w:val="24"/>
          <w:highlight w:val="none"/>
        </w:rPr>
        <w:t xml:space="preserve">详见《标准施工招标文件》（2007年版）</w:t>
      </w:r>
      <w:r>
        <w:rPr>
          <w:rFonts w:hint="eastAsia" w:ascii="宋体" w:hAnsi="宋体" w:eastAsia="宋体" w:cs="宋体"/>
          <w:b/>
          <w:color w:val="000000"/>
          <w:sz w:val="24"/>
          <w:highlight w:val="none"/>
        </w:rPr>
      </w:r>
      <w:r/>
    </w:p>
    <w:p>
      <w:pPr>
        <w:pStyle w:val="801"/>
        <w:jc w:val="center"/>
        <w:spacing w:line="360" w:lineRule="auto"/>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第二节 专用合同条款</w:t>
      </w:r>
      <w:r>
        <w:rPr>
          <w:rFonts w:hint="eastAsia" w:ascii="宋体" w:hAnsi="宋体" w:eastAsia="宋体" w:cs="宋体"/>
          <w:b/>
          <w:color w:val="000000"/>
          <w:sz w:val="32"/>
          <w:szCs w:val="32"/>
          <w:highlight w:val="none"/>
        </w:rPr>
      </w:r>
      <w:r/>
    </w:p>
    <w:p>
      <w:pPr>
        <w:pStyle w:val="801"/>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根据本项目的具体情况，对通用合同条款的内容做如下补充、细化： </w:t>
      </w:r>
      <w:r>
        <w:rPr>
          <w:rFonts w:hint="eastAsia" w:ascii="宋体" w:hAnsi="宋体" w:eastAsia="宋体" w:cs="宋体"/>
          <w:color w:val="000000"/>
          <w:sz w:val="24"/>
          <w:szCs w:val="24"/>
          <w:highlight w:val="none"/>
        </w:rPr>
      </w:r>
      <w:r/>
    </w:p>
    <w:p>
      <w:pPr>
        <w:pStyle w:val="801"/>
        <w:ind w:left="0" w:right="0"/>
        <w:jc w:val="both"/>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  一般约定</w:t>
      </w:r>
      <w:r>
        <w:rPr>
          <w:rFonts w:hint="eastAsia" w:ascii="宋体" w:hAnsi="宋体" w:eastAsia="宋体" w:cs="宋体"/>
          <w:b/>
          <w:bCs/>
          <w:color w:val="000000"/>
          <w:sz w:val="24"/>
          <w:szCs w:val="24"/>
          <w:highlight w:val="none"/>
        </w:rPr>
      </w:r>
      <w:r/>
    </w:p>
    <w:p>
      <w:pPr>
        <w:pStyle w:val="801"/>
        <w:ind w:left="0" w:right="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1.1 词语定义</w:t>
      </w:r>
      <w:r>
        <w:rPr>
          <w:rFonts w:hint="eastAsia" w:ascii="宋体" w:hAnsi="宋体" w:eastAsia="宋体" w:cs="宋体"/>
          <w:color w:val="000000"/>
          <w:sz w:val="24"/>
          <w:szCs w:val="24"/>
          <w:highlight w:val="none"/>
        </w:rPr>
      </w:r>
      <w:r/>
    </w:p>
    <w:p>
      <w:pPr>
        <w:pStyle w:val="801"/>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1.1.1 合同</w:t>
      </w:r>
      <w:r>
        <w:rPr>
          <w:rFonts w:hint="eastAsia" w:ascii="宋体" w:hAnsi="宋体" w:eastAsia="宋体" w:cs="宋体"/>
          <w:color w:val="000000"/>
          <w:sz w:val="24"/>
          <w:szCs w:val="24"/>
          <w:highlight w:val="none"/>
        </w:rPr>
      </w:r>
      <w:r/>
    </w:p>
    <w:p>
      <w:pPr>
        <w:pStyle w:val="801"/>
        <w:ind w:left="0" w:right="0" w:firstLine="482"/>
        <w:jc w:val="both"/>
        <w:keepLines w:val="0"/>
        <w:keepNext w:val="0"/>
        <w:pageBreakBefore w:val="0"/>
        <w:spacing w:line="360" w:lineRule="auto"/>
        <w:widowControl w:val="off"/>
        <w:rPr>
          <w:rFonts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增加以下条款：</w:t>
      </w:r>
      <w:r>
        <w:rPr>
          <w:rFonts w:ascii="宋体" w:hAnsi="宋体" w:eastAsia="宋体" w:cs="宋体"/>
          <w:b/>
          <w:bCs/>
          <w:color w:val="000000"/>
          <w:sz w:val="24"/>
          <w:szCs w:val="24"/>
          <w:highlight w:val="none"/>
          <w:lang w:val="en-US" w:eastAsia="zh-CN"/>
        </w:rPr>
      </w:r>
      <w:r/>
    </w:p>
    <w:p>
      <w:pPr>
        <w:pStyle w:val="801"/>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1.1.1.10 指发出招标文件之后由发包人向已取得招标文件的潜在投标人发出的对招标文件补充或修改的书面文件。补遗书是招标文件和合同的组成部分。</w:t>
      </w:r>
      <w:r>
        <w:rPr>
          <w:rFonts w:hint="eastAsia" w:ascii="宋体" w:hAnsi="宋体" w:eastAsia="宋体" w:cs="宋体"/>
          <w:color w:val="000000"/>
          <w:sz w:val="24"/>
          <w:szCs w:val="24"/>
          <w:highlight w:val="none"/>
        </w:rPr>
      </w:r>
      <w:r/>
    </w:p>
    <w:p>
      <w:pPr>
        <w:pStyle w:val="801"/>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1.1.1.11 固定总价合同：在合同执行过程中，除约定的风险范围外，不得调整总价的合同。</w:t>
      </w:r>
      <w:r>
        <w:rPr>
          <w:rFonts w:hint="eastAsia" w:ascii="宋体" w:hAnsi="宋体" w:eastAsia="宋体" w:cs="宋体"/>
          <w:color w:val="000000"/>
          <w:sz w:val="24"/>
          <w:szCs w:val="24"/>
          <w:highlight w:val="none"/>
        </w:rPr>
      </w:r>
      <w:r/>
    </w:p>
    <w:p>
      <w:pPr>
        <w:pStyle w:val="801"/>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1.1.1.12 固定单价合同：在合同执行过程中，除约定的风险范围外，合同工程量清单中不得调整单价的合同。</w:t>
      </w:r>
      <w:r>
        <w:rPr>
          <w:rFonts w:hint="eastAsia" w:ascii="宋体" w:hAnsi="宋体" w:eastAsia="宋体" w:cs="宋体"/>
          <w:color w:val="000000"/>
          <w:sz w:val="24"/>
          <w:szCs w:val="24"/>
          <w:highlight w:val="none"/>
        </w:rPr>
      </w:r>
      <w:r/>
    </w:p>
    <w:p>
      <w:pPr>
        <w:pStyle w:val="801"/>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1.1.1.13 询标及澄清文件：指招标投标过程中，招标人为完成工作，向对方所发出的询问及投标人澄清的书面文件，属于投标文件的组成部分。</w:t>
      </w:r>
      <w:r>
        <w:rPr>
          <w:rFonts w:hint="eastAsia" w:ascii="宋体" w:hAnsi="宋体" w:eastAsia="宋体" w:cs="宋体"/>
          <w:color w:val="000000"/>
          <w:sz w:val="24"/>
          <w:szCs w:val="24"/>
          <w:highlight w:val="none"/>
        </w:rPr>
      </w:r>
      <w:r/>
    </w:p>
    <w:p>
      <w:pPr>
        <w:pStyle w:val="801"/>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1.1.2 合同当事人和人员</w:t>
      </w:r>
      <w:r>
        <w:rPr>
          <w:rFonts w:hint="eastAsia" w:ascii="宋体" w:hAnsi="宋体" w:eastAsia="宋体" w:cs="宋体"/>
          <w:color w:val="000000"/>
          <w:sz w:val="24"/>
          <w:szCs w:val="24"/>
          <w:highlight w:val="none"/>
        </w:rPr>
      </w:r>
      <w:r/>
    </w:p>
    <w:p>
      <w:pPr>
        <w:pStyle w:val="801"/>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1.1.2.8 工程建设项目代理人：指受发包人委托，具有相应资质及法定代理资格，代表发包人负责管理本合同的企业法人。</w:t>
      </w:r>
      <w:r>
        <w:rPr>
          <w:rFonts w:hint="eastAsia" w:ascii="宋体" w:hAnsi="宋体" w:eastAsia="宋体" w:cs="宋体"/>
          <w:color w:val="000000"/>
          <w:sz w:val="24"/>
          <w:szCs w:val="24"/>
          <w:highlight w:val="none"/>
        </w:rPr>
      </w:r>
      <w:r/>
    </w:p>
    <w:p>
      <w:pPr>
        <w:pStyle w:val="801"/>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1.1.2.9 项目技术负责人：指由承包人按投标文件承诺派驻施工现场负责施工技术管理的总工程师或技术总负责人。</w:t>
      </w:r>
      <w:r>
        <w:rPr>
          <w:rFonts w:hint="eastAsia" w:ascii="宋体" w:hAnsi="宋体" w:eastAsia="宋体" w:cs="宋体"/>
          <w:color w:val="000000"/>
          <w:sz w:val="24"/>
          <w:szCs w:val="24"/>
          <w:highlight w:val="none"/>
        </w:rPr>
      </w:r>
      <w:r/>
    </w:p>
    <w:p>
      <w:pPr>
        <w:pStyle w:val="801"/>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1.1.2.10 发包人代表：指发包人为履行本合同指定的负责人。</w:t>
      </w:r>
      <w:r>
        <w:rPr>
          <w:rFonts w:hint="eastAsia" w:ascii="宋体" w:hAnsi="宋体" w:eastAsia="宋体" w:cs="宋体"/>
          <w:color w:val="000000"/>
          <w:sz w:val="24"/>
          <w:szCs w:val="24"/>
          <w:highlight w:val="none"/>
        </w:rPr>
      </w:r>
      <w:r/>
    </w:p>
    <w:p>
      <w:pPr>
        <w:pStyle w:val="801"/>
        <w:ind w:left="0" w:right="0"/>
        <w:jc w:val="both"/>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1.4  合同文件的优先顺序</w:t>
      </w:r>
      <w:r>
        <w:rPr>
          <w:rFonts w:hint="eastAsia" w:ascii="宋体" w:hAnsi="宋体" w:eastAsia="宋体" w:cs="宋体"/>
          <w:b/>
          <w:bCs/>
          <w:color w:val="000000"/>
          <w:sz w:val="24"/>
          <w:szCs w:val="24"/>
          <w:highlight w:val="none"/>
        </w:rPr>
      </w:r>
      <w:r/>
    </w:p>
    <w:p>
      <w:pPr>
        <w:pStyle w:val="801"/>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组成合同的各项文件应互相解释，互为说明，解释合同文件的优先顺序如下：</w:t>
      </w:r>
      <w:r>
        <w:rPr>
          <w:rFonts w:hint="eastAsia" w:ascii="宋体" w:hAnsi="宋体" w:eastAsia="宋体" w:cs="宋体"/>
          <w:color w:val="000000"/>
          <w:sz w:val="24"/>
          <w:szCs w:val="24"/>
          <w:highlight w:val="none"/>
        </w:rPr>
      </w:r>
      <w:r/>
    </w:p>
    <w:p>
      <w:pPr>
        <w:pStyle w:val="801"/>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⑴合同履行中双方签署的书面文件；</w:t>
      </w:r>
      <w:r>
        <w:rPr>
          <w:rFonts w:hint="eastAsia" w:ascii="宋体" w:hAnsi="宋体" w:eastAsia="宋体" w:cs="宋体"/>
          <w:color w:val="000000"/>
          <w:sz w:val="24"/>
          <w:szCs w:val="24"/>
          <w:highlight w:val="none"/>
        </w:rPr>
      </w:r>
      <w:r/>
    </w:p>
    <w:p>
      <w:pPr>
        <w:pStyle w:val="801"/>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⑵合同协议书；</w:t>
      </w:r>
      <w:r>
        <w:rPr>
          <w:rFonts w:hint="eastAsia" w:ascii="宋体" w:hAnsi="宋体" w:eastAsia="宋体" w:cs="宋体"/>
          <w:color w:val="000000"/>
          <w:sz w:val="24"/>
          <w:szCs w:val="24"/>
          <w:highlight w:val="none"/>
        </w:rPr>
      </w:r>
      <w:r/>
    </w:p>
    <w:p>
      <w:pPr>
        <w:pStyle w:val="801"/>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⑶中标通知书；</w:t>
      </w:r>
      <w:r>
        <w:rPr>
          <w:rFonts w:hint="eastAsia" w:ascii="宋体" w:hAnsi="宋体" w:eastAsia="宋体" w:cs="宋体"/>
          <w:color w:val="000000"/>
          <w:sz w:val="24"/>
          <w:szCs w:val="24"/>
          <w:highlight w:val="none"/>
        </w:rPr>
      </w:r>
      <w:r/>
    </w:p>
    <w:p>
      <w:pPr>
        <w:pStyle w:val="801"/>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⑷投标函；</w:t>
      </w:r>
      <w:r>
        <w:rPr>
          <w:rFonts w:hint="eastAsia" w:ascii="宋体" w:hAnsi="宋体" w:eastAsia="宋体" w:cs="宋体"/>
          <w:color w:val="000000"/>
          <w:sz w:val="24"/>
          <w:szCs w:val="24"/>
          <w:highlight w:val="none"/>
        </w:rPr>
      </w:r>
      <w:r/>
    </w:p>
    <w:p>
      <w:pPr>
        <w:pStyle w:val="801"/>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⑸专用合同条款；</w:t>
      </w:r>
      <w:r>
        <w:rPr>
          <w:rFonts w:hint="eastAsia" w:ascii="宋体" w:hAnsi="宋体" w:eastAsia="宋体" w:cs="宋体"/>
          <w:color w:val="000000"/>
          <w:sz w:val="24"/>
          <w:szCs w:val="24"/>
          <w:highlight w:val="none"/>
        </w:rPr>
      </w:r>
      <w:r/>
    </w:p>
    <w:p>
      <w:pPr>
        <w:pStyle w:val="801"/>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⑹通用合同条款；</w:t>
      </w:r>
      <w:r>
        <w:rPr>
          <w:rFonts w:hint="eastAsia" w:ascii="宋体" w:hAnsi="宋体" w:eastAsia="宋体" w:cs="宋体"/>
          <w:color w:val="000000"/>
          <w:sz w:val="24"/>
          <w:szCs w:val="24"/>
          <w:highlight w:val="none"/>
        </w:rPr>
      </w:r>
      <w:r/>
    </w:p>
    <w:p>
      <w:pPr>
        <w:pStyle w:val="801"/>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⑺技术标准和要求；</w:t>
      </w:r>
      <w:r>
        <w:rPr>
          <w:rFonts w:hint="eastAsia" w:ascii="宋体" w:hAnsi="宋体" w:eastAsia="宋体" w:cs="宋体"/>
          <w:color w:val="000000"/>
          <w:sz w:val="24"/>
          <w:szCs w:val="24"/>
          <w:highlight w:val="none"/>
        </w:rPr>
      </w:r>
      <w:r/>
    </w:p>
    <w:p>
      <w:pPr>
        <w:pStyle w:val="801"/>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⑻图纸；</w:t>
      </w:r>
      <w:r>
        <w:rPr>
          <w:rFonts w:hint="eastAsia" w:ascii="宋体" w:hAnsi="宋体" w:eastAsia="宋体" w:cs="宋体"/>
          <w:color w:val="000000"/>
          <w:sz w:val="24"/>
          <w:szCs w:val="24"/>
          <w:highlight w:val="none"/>
        </w:rPr>
      </w:r>
      <w:r/>
    </w:p>
    <w:p>
      <w:pPr>
        <w:pStyle w:val="801"/>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⑼已标价的工程量清单；</w:t>
      </w:r>
      <w:r>
        <w:rPr>
          <w:rFonts w:hint="eastAsia" w:ascii="宋体" w:hAnsi="宋体" w:eastAsia="宋体" w:cs="宋体"/>
          <w:color w:val="000000"/>
          <w:sz w:val="24"/>
          <w:szCs w:val="24"/>
          <w:highlight w:val="none"/>
        </w:rPr>
      </w:r>
      <w:r/>
    </w:p>
    <w:p>
      <w:pPr>
        <w:pStyle w:val="801"/>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⑽其他合同文件。</w:t>
      </w:r>
      <w:r>
        <w:rPr>
          <w:rFonts w:hint="eastAsia" w:ascii="宋体" w:hAnsi="宋体" w:eastAsia="宋体" w:cs="宋体"/>
          <w:color w:val="000000"/>
          <w:sz w:val="24"/>
          <w:szCs w:val="24"/>
          <w:highlight w:val="none"/>
        </w:rPr>
      </w:r>
      <w:r/>
    </w:p>
    <w:p>
      <w:pPr>
        <w:pStyle w:val="801"/>
        <w:ind w:left="0" w:right="0"/>
        <w:jc w:val="both"/>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1.5  合同协议书</w:t>
      </w:r>
      <w:r>
        <w:rPr>
          <w:rFonts w:hint="eastAsia" w:ascii="宋体" w:hAnsi="宋体" w:eastAsia="宋体" w:cs="宋体"/>
          <w:b/>
          <w:bCs/>
          <w:color w:val="000000"/>
          <w:sz w:val="24"/>
          <w:szCs w:val="24"/>
          <w:highlight w:val="none"/>
        </w:rPr>
      </w:r>
      <w:r/>
    </w:p>
    <w:p>
      <w:pPr>
        <w:pStyle w:val="801"/>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1.5.1 合同价格和费用</w:t>
      </w:r>
      <w:r>
        <w:rPr>
          <w:rFonts w:hint="eastAsia" w:ascii="宋体" w:hAnsi="宋体" w:eastAsia="宋体" w:cs="宋体"/>
          <w:color w:val="000000"/>
          <w:sz w:val="24"/>
          <w:szCs w:val="24"/>
          <w:highlight w:val="none"/>
        </w:rPr>
      </w:r>
      <w:r/>
    </w:p>
    <w:p>
      <w:pPr>
        <w:pStyle w:val="801"/>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本合同的承包价格和费用，包括承包人按照合同约定应当完成的全部合同范围内的工作及缺陷责任期内的全部工作。</w:t>
      </w:r>
      <w:r>
        <w:rPr>
          <w:rFonts w:hint="eastAsia" w:ascii="宋体" w:hAnsi="宋体" w:eastAsia="宋体" w:cs="宋体"/>
          <w:color w:val="000000"/>
          <w:sz w:val="24"/>
          <w:szCs w:val="24"/>
          <w:highlight w:val="none"/>
        </w:rPr>
      </w:r>
      <w:r/>
    </w:p>
    <w:p>
      <w:pPr>
        <w:pStyle w:val="801"/>
        <w:ind w:left="0" w:right="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承发包人按以下</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b/>
          <w:bCs/>
          <w:color w:val="000000"/>
          <w:sz w:val="24"/>
          <w:szCs w:val="24"/>
          <w:highlight w:val="none"/>
          <w:u w:val="single"/>
        </w:rPr>
        <w:t xml:space="preserve">⑵</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方式确定承包合同价格：</w:t>
      </w:r>
      <w:r>
        <w:rPr>
          <w:rFonts w:hint="eastAsia" w:ascii="宋体" w:hAnsi="宋体" w:eastAsia="宋体" w:cs="宋体"/>
          <w:color w:val="000000"/>
          <w:sz w:val="24"/>
          <w:szCs w:val="24"/>
          <w:highlight w:val="none"/>
        </w:rPr>
      </w:r>
      <w:r/>
    </w:p>
    <w:p>
      <w:pPr>
        <w:pStyle w:val="801"/>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⑴固定总价合同；</w:t>
      </w:r>
      <w:r>
        <w:rPr>
          <w:rFonts w:hint="eastAsia" w:ascii="宋体" w:hAnsi="宋体" w:eastAsia="宋体" w:cs="宋体"/>
          <w:color w:val="000000"/>
          <w:sz w:val="24"/>
          <w:szCs w:val="24"/>
          <w:highlight w:val="none"/>
        </w:rPr>
      </w:r>
      <w:r/>
    </w:p>
    <w:p>
      <w:pPr>
        <w:pStyle w:val="801"/>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⑵固定单价合同。</w:t>
      </w:r>
      <w:r>
        <w:rPr>
          <w:rFonts w:hint="eastAsia" w:ascii="宋体" w:hAnsi="宋体" w:eastAsia="宋体" w:cs="宋体"/>
          <w:color w:val="000000"/>
          <w:sz w:val="24"/>
          <w:szCs w:val="24"/>
          <w:highlight w:val="none"/>
        </w:rPr>
      </w:r>
      <w:r/>
    </w:p>
    <w:p>
      <w:pPr>
        <w:pStyle w:val="801"/>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1.5.2 合同生效的其他条件：双方签字盖章后合同生效  。</w:t>
      </w:r>
      <w:r>
        <w:rPr>
          <w:rFonts w:hint="eastAsia" w:ascii="宋体" w:hAnsi="宋体" w:eastAsia="宋体" w:cs="宋体"/>
          <w:color w:val="000000"/>
          <w:sz w:val="24"/>
          <w:szCs w:val="24"/>
          <w:highlight w:val="none"/>
        </w:rPr>
      </w:r>
      <w:r/>
    </w:p>
    <w:p>
      <w:pPr>
        <w:pStyle w:val="801"/>
        <w:ind w:left="0" w:right="0"/>
        <w:jc w:val="both"/>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1.6  图纸和承包人文件</w:t>
      </w:r>
      <w:r>
        <w:rPr>
          <w:rFonts w:hint="eastAsia" w:ascii="宋体" w:hAnsi="宋体" w:eastAsia="宋体" w:cs="宋体"/>
          <w:b/>
          <w:bCs/>
          <w:color w:val="000000"/>
          <w:sz w:val="24"/>
          <w:szCs w:val="24"/>
          <w:highlight w:val="none"/>
        </w:rPr>
      </w:r>
      <w:r/>
    </w:p>
    <w:p>
      <w:pPr>
        <w:pStyle w:val="801"/>
        <w:ind w:left="0" w:right="0" w:firstLine="480"/>
        <w:jc w:val="both"/>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 xml:space="preserve">1.6.1 图纸的提供：</w:t>
      </w:r>
      <w:r>
        <w:rPr>
          <w:rFonts w:hint="eastAsia" w:ascii="宋体" w:hAnsi="宋体" w:eastAsia="宋体" w:cs="宋体"/>
          <w:b/>
          <w:bCs/>
          <w:color w:val="000000"/>
          <w:sz w:val="24"/>
          <w:szCs w:val="24"/>
          <w:highlight w:val="none"/>
          <w:u w:val="single"/>
        </w:rPr>
        <w:t xml:space="preserve">发包人提供图纸2套。</w:t>
      </w:r>
      <w:r>
        <w:rPr>
          <w:rFonts w:hint="eastAsia" w:ascii="宋体" w:hAnsi="宋体" w:eastAsia="宋体" w:cs="宋体"/>
          <w:b/>
          <w:bCs/>
          <w:color w:val="000000"/>
          <w:sz w:val="24"/>
          <w:szCs w:val="24"/>
          <w:highlight w:val="none"/>
        </w:rPr>
      </w:r>
      <w:r/>
    </w:p>
    <w:p>
      <w:pPr>
        <w:pStyle w:val="801"/>
        <w:ind w:left="0" w:right="0"/>
        <w:jc w:val="both"/>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1.7  联络</w:t>
      </w:r>
      <w:r>
        <w:rPr>
          <w:rFonts w:hint="eastAsia" w:ascii="宋体" w:hAnsi="宋体" w:eastAsia="宋体" w:cs="宋体"/>
          <w:b/>
          <w:bCs/>
          <w:color w:val="000000"/>
          <w:sz w:val="24"/>
          <w:szCs w:val="24"/>
          <w:highlight w:val="none"/>
        </w:rPr>
      </w:r>
      <w:r/>
    </w:p>
    <w:p>
      <w:pPr>
        <w:pStyle w:val="801"/>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1.7.3 各类往来书面函件的联络送达期限：</w:t>
      </w:r>
      <w:r>
        <w:rPr>
          <w:rFonts w:hint="eastAsia" w:ascii="宋体" w:hAnsi="宋体" w:eastAsia="宋体" w:cs="宋体"/>
          <w:color w:val="000000"/>
          <w:sz w:val="24"/>
          <w:szCs w:val="24"/>
          <w:highlight w:val="none"/>
        </w:rPr>
      </w:r>
      <w:r/>
    </w:p>
    <w:p>
      <w:pPr>
        <w:pStyle w:val="801"/>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⑴邮件以“特快专递”、“挂号信函”方式邮寄，以收件人签收日期为准；</w:t>
      </w:r>
      <w:r>
        <w:rPr>
          <w:rFonts w:hint="eastAsia" w:ascii="宋体" w:hAnsi="宋体" w:eastAsia="宋体" w:cs="宋体"/>
          <w:color w:val="000000"/>
          <w:sz w:val="24"/>
          <w:szCs w:val="24"/>
          <w:highlight w:val="none"/>
        </w:rPr>
      </w:r>
      <w:r/>
    </w:p>
    <w:p>
      <w:pPr>
        <w:pStyle w:val="801"/>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⑵传真、电子邮件以收件人发回确认回执日期为准；</w:t>
      </w:r>
      <w:r>
        <w:rPr>
          <w:rFonts w:hint="eastAsia" w:ascii="宋体" w:hAnsi="宋体" w:eastAsia="宋体" w:cs="宋体"/>
          <w:color w:val="000000"/>
          <w:sz w:val="24"/>
          <w:szCs w:val="24"/>
          <w:highlight w:val="none"/>
        </w:rPr>
      </w:r>
      <w:r/>
    </w:p>
    <w:p>
      <w:pPr>
        <w:pStyle w:val="801"/>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⑶人工送达以收件人签收日期为准。</w:t>
      </w:r>
      <w:r>
        <w:rPr>
          <w:rFonts w:hint="eastAsia" w:ascii="宋体" w:hAnsi="宋体" w:eastAsia="宋体" w:cs="宋体"/>
          <w:color w:val="000000"/>
          <w:sz w:val="24"/>
          <w:szCs w:val="24"/>
          <w:highlight w:val="none"/>
        </w:rPr>
      </w:r>
      <w:r/>
    </w:p>
    <w:p>
      <w:pPr>
        <w:pStyle w:val="801"/>
        <w:ind w:left="0" w:right="0"/>
        <w:jc w:val="both"/>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1.8  转让</w:t>
      </w:r>
      <w:r>
        <w:rPr>
          <w:rFonts w:hint="eastAsia" w:ascii="宋体" w:hAnsi="宋体" w:eastAsia="宋体" w:cs="宋体"/>
          <w:b/>
          <w:bCs/>
          <w:color w:val="000000"/>
          <w:sz w:val="24"/>
          <w:szCs w:val="24"/>
          <w:highlight w:val="none"/>
        </w:rPr>
      </w:r>
      <w:r/>
    </w:p>
    <w:p>
      <w:pPr>
        <w:pStyle w:val="801"/>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 合同转让：</w:t>
      </w:r>
      <w:r>
        <w:rPr>
          <w:rFonts w:hint="eastAsia" w:ascii="宋体" w:hAnsi="宋体" w:eastAsia="宋体" w:cs="宋体"/>
          <w:b/>
          <w:bCs/>
          <w:color w:val="000000"/>
          <w:sz w:val="24"/>
          <w:szCs w:val="24"/>
          <w:highlight w:val="none"/>
          <w:u w:val="single"/>
        </w:rPr>
        <w:t xml:space="preserve"> 不允许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01"/>
        <w:ind w:left="0" w:right="0"/>
        <w:jc w:val="both"/>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  发包人义务</w:t>
      </w:r>
      <w:r>
        <w:rPr>
          <w:rFonts w:hint="eastAsia" w:ascii="宋体" w:hAnsi="宋体" w:eastAsia="宋体" w:cs="宋体"/>
          <w:b/>
          <w:bCs/>
          <w:color w:val="000000"/>
          <w:sz w:val="24"/>
          <w:szCs w:val="24"/>
          <w:highlight w:val="none"/>
        </w:rPr>
      </w:r>
      <w:r/>
    </w:p>
    <w:p>
      <w:pPr>
        <w:pStyle w:val="801"/>
        <w:ind w:right="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2.3  提供施工场地</w:t>
      </w:r>
      <w:r>
        <w:rPr>
          <w:rFonts w:hint="eastAsia" w:ascii="宋体" w:hAnsi="宋体" w:eastAsia="宋体" w:cs="宋体"/>
          <w:color w:val="000000"/>
          <w:sz w:val="24"/>
          <w:szCs w:val="24"/>
          <w:highlight w:val="none"/>
        </w:rPr>
      </w:r>
      <w:r/>
    </w:p>
    <w:p>
      <w:pPr>
        <w:pStyle w:val="801"/>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2.3.1 发包人应在计划开工日期14天前，向承包人无偿提供能满足工程主体范围并有合理有效的施工作业面位置的施工水域或场地，提供现有的施工水域或场地面积，应满足招标文件的最低要求。</w:t>
      </w:r>
      <w:r>
        <w:rPr>
          <w:rFonts w:hint="eastAsia" w:ascii="宋体" w:hAnsi="宋体" w:eastAsia="宋体" w:cs="宋体"/>
          <w:color w:val="000000"/>
          <w:sz w:val="24"/>
          <w:szCs w:val="24"/>
          <w:highlight w:val="none"/>
        </w:rPr>
      </w:r>
      <w:r/>
    </w:p>
    <w:p>
      <w:pPr>
        <w:pStyle w:val="801"/>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上述施工水域或场地应符合国家的有关规定，并已完成审批、征用、拆迁、补偿等工作。</w:t>
      </w:r>
      <w:r>
        <w:rPr>
          <w:rFonts w:hint="eastAsia" w:ascii="宋体" w:hAnsi="宋体" w:eastAsia="宋体" w:cs="宋体"/>
          <w:color w:val="000000"/>
          <w:sz w:val="24"/>
          <w:szCs w:val="24"/>
          <w:highlight w:val="none"/>
        </w:rPr>
      </w:r>
      <w:r/>
    </w:p>
    <w:p>
      <w:pPr>
        <w:pStyle w:val="801"/>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2.3.2 发包人应在计划开工日期14天前，提供能满足承包人生产、生活需要的临时施工水域或场地。</w:t>
      </w:r>
      <w:r>
        <w:rPr>
          <w:rFonts w:hint="eastAsia" w:ascii="宋体" w:hAnsi="宋体" w:eastAsia="宋体" w:cs="宋体"/>
          <w:color w:val="000000"/>
          <w:sz w:val="24"/>
          <w:szCs w:val="24"/>
          <w:highlight w:val="none"/>
        </w:rPr>
      </w:r>
      <w:r/>
    </w:p>
    <w:p>
      <w:pPr>
        <w:pStyle w:val="801"/>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2.3.3 施工现场三通和通讯条件，承包人应根据现场考察情况自行解决，并在投标价中予以考虑；承包人还必须充分考虑和理解工程的相互交叉和干扰，必须无条件地服从发包人的协调，由此可能发生的费用应计入报价中，在实际施工中，发包人不另承担由此产生的一切费用。承包人在工程建设期间不得损坏和污染发包人已完成的其他任何工程。</w:t>
      </w:r>
      <w:r>
        <w:rPr>
          <w:rFonts w:hint="eastAsia" w:ascii="宋体" w:hAnsi="宋体" w:eastAsia="宋体" w:cs="宋体"/>
          <w:color w:val="000000"/>
          <w:sz w:val="24"/>
          <w:szCs w:val="24"/>
          <w:highlight w:val="none"/>
        </w:rPr>
      </w:r>
      <w:r/>
    </w:p>
    <w:p>
      <w:pPr>
        <w:pStyle w:val="801"/>
        <w:ind w:left="0" w:right="0"/>
        <w:jc w:val="both"/>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2.4  协助承包人办理证件和批件</w:t>
      </w:r>
      <w:r>
        <w:rPr>
          <w:rFonts w:hint="eastAsia" w:ascii="宋体" w:hAnsi="宋体" w:eastAsia="宋体" w:cs="宋体"/>
          <w:b/>
          <w:bCs/>
          <w:color w:val="000000"/>
          <w:sz w:val="24"/>
          <w:szCs w:val="24"/>
          <w:highlight w:val="none"/>
        </w:rPr>
      </w:r>
      <w:r/>
    </w:p>
    <w:p>
      <w:pPr>
        <w:pStyle w:val="801"/>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2.4.1 协调处理施工场地周围地下管线和邻近建筑物、构筑物的保护工作。</w:t>
      </w:r>
      <w:r>
        <w:rPr>
          <w:rFonts w:hint="eastAsia" w:ascii="宋体" w:hAnsi="宋体" w:eastAsia="宋体" w:cs="宋体"/>
          <w:color w:val="000000"/>
          <w:sz w:val="24"/>
          <w:szCs w:val="24"/>
          <w:highlight w:val="none"/>
        </w:rPr>
      </w:r>
      <w:r/>
    </w:p>
    <w:p>
      <w:pPr>
        <w:pStyle w:val="801"/>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2.4.2 协助解决对承包人施工有干扰的外部条件。</w:t>
      </w:r>
      <w:r>
        <w:rPr>
          <w:rFonts w:hint="eastAsia" w:ascii="宋体" w:hAnsi="宋体" w:eastAsia="宋体" w:cs="宋体"/>
          <w:color w:val="000000"/>
          <w:sz w:val="24"/>
          <w:szCs w:val="24"/>
          <w:highlight w:val="none"/>
        </w:rPr>
      </w:r>
      <w:r/>
    </w:p>
    <w:p>
      <w:pPr>
        <w:pStyle w:val="801"/>
        <w:ind w:left="0" w:right="0"/>
        <w:jc w:val="both"/>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2.5  组织设计交底</w:t>
      </w:r>
      <w:r>
        <w:rPr>
          <w:rFonts w:hint="eastAsia" w:ascii="宋体" w:hAnsi="宋体" w:eastAsia="宋体" w:cs="宋体"/>
          <w:b/>
          <w:bCs/>
          <w:color w:val="000000"/>
          <w:sz w:val="24"/>
          <w:szCs w:val="24"/>
          <w:highlight w:val="none"/>
        </w:rPr>
      </w:r>
      <w:r/>
    </w:p>
    <w:p>
      <w:pPr>
        <w:pStyle w:val="801"/>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2.5.1 发包人应在计划开工日期14天前，组织设计单位向承包人进行设计交底。设计交底会应由发包人主持，设计单位、承包人、监理人和工程有关方面的人员参加，会后应形成会议纪要。</w:t>
      </w:r>
      <w:r>
        <w:rPr>
          <w:rFonts w:hint="eastAsia" w:ascii="宋体" w:hAnsi="宋体" w:eastAsia="宋体" w:cs="宋体"/>
          <w:color w:val="000000"/>
          <w:sz w:val="24"/>
          <w:szCs w:val="24"/>
          <w:highlight w:val="none"/>
        </w:rPr>
      </w:r>
      <w:r/>
    </w:p>
    <w:p>
      <w:pPr>
        <w:pStyle w:val="801"/>
        <w:ind w:left="0" w:right="0"/>
        <w:jc w:val="both"/>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2.8  其他义务</w:t>
      </w:r>
      <w:r>
        <w:rPr>
          <w:rFonts w:hint="eastAsia" w:ascii="宋体" w:hAnsi="宋体" w:eastAsia="宋体" w:cs="宋体"/>
          <w:b/>
          <w:bCs/>
          <w:color w:val="000000"/>
          <w:sz w:val="24"/>
          <w:szCs w:val="24"/>
          <w:highlight w:val="none"/>
        </w:rPr>
      </w:r>
      <w:r/>
    </w:p>
    <w:p>
      <w:pPr>
        <w:pStyle w:val="801"/>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2.8.1 发包人应在合同协议书签署的同时任命发包人代表；发包人需更换其代表时，应至少提前10天书面通知承包人。</w:t>
      </w:r>
      <w:r>
        <w:rPr>
          <w:rFonts w:hint="eastAsia" w:ascii="宋体" w:hAnsi="宋体" w:eastAsia="宋体" w:cs="宋体"/>
          <w:color w:val="000000"/>
          <w:sz w:val="24"/>
          <w:szCs w:val="24"/>
          <w:highlight w:val="none"/>
        </w:rPr>
      </w:r>
      <w:r/>
    </w:p>
    <w:p>
      <w:pPr>
        <w:pStyle w:val="801"/>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2.8.2 发包人应协助承包人办理航行通告、抛泥区许可证等施工所需的各种手续。</w:t>
      </w:r>
      <w:r>
        <w:rPr>
          <w:rFonts w:hint="eastAsia" w:ascii="宋体" w:hAnsi="宋体" w:eastAsia="宋体" w:cs="宋体"/>
          <w:color w:val="000000"/>
          <w:sz w:val="24"/>
          <w:szCs w:val="24"/>
          <w:highlight w:val="none"/>
        </w:rPr>
      </w:r>
      <w:r/>
    </w:p>
    <w:p>
      <w:pPr>
        <w:pStyle w:val="801"/>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2.8.3 发包人应在计划开工日期14天前向承包人提供与施工现场相关的工程地质和地下管线资料，工程地质报告以及交验测量和水准点、坐标控制点等技术资料，并对其提供的上述资料的真实性、准确性负责。</w:t>
      </w:r>
      <w:r>
        <w:rPr>
          <w:rFonts w:hint="eastAsia" w:ascii="宋体" w:hAnsi="宋体" w:eastAsia="宋体" w:cs="宋体"/>
          <w:color w:val="000000"/>
          <w:sz w:val="24"/>
          <w:szCs w:val="24"/>
          <w:highlight w:val="none"/>
        </w:rPr>
      </w:r>
      <w:r/>
    </w:p>
    <w:p>
      <w:pPr>
        <w:pStyle w:val="801"/>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2.8.4 合同签订时，如果合同专用条款中所实行技术规范或标准有更新时，则发包人有权参照最新规范及标准实施本项目。</w:t>
      </w:r>
      <w:r>
        <w:rPr>
          <w:rFonts w:hint="eastAsia" w:ascii="宋体" w:hAnsi="宋体" w:eastAsia="宋体" w:cs="宋体"/>
          <w:color w:val="000000"/>
          <w:sz w:val="24"/>
          <w:szCs w:val="24"/>
          <w:highlight w:val="none"/>
        </w:rPr>
      </w:r>
      <w:r/>
    </w:p>
    <w:p>
      <w:pPr>
        <w:pStyle w:val="801"/>
        <w:ind w:left="0" w:right="0"/>
        <w:jc w:val="both"/>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3  监理人</w:t>
      </w:r>
      <w:r>
        <w:rPr>
          <w:rFonts w:hint="eastAsia" w:ascii="宋体" w:hAnsi="宋体" w:eastAsia="宋体" w:cs="宋体"/>
          <w:b/>
          <w:bCs/>
          <w:color w:val="000000"/>
          <w:sz w:val="24"/>
          <w:szCs w:val="24"/>
          <w:highlight w:val="none"/>
        </w:rPr>
      </w:r>
      <w:r/>
    </w:p>
    <w:p>
      <w:pPr>
        <w:pStyle w:val="801"/>
        <w:ind w:left="0" w:right="0"/>
        <w:jc w:val="both"/>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3.1  监理人的职责和权力</w:t>
      </w:r>
      <w:r>
        <w:rPr>
          <w:rFonts w:hint="eastAsia" w:ascii="宋体" w:hAnsi="宋体" w:eastAsia="宋体" w:cs="宋体"/>
          <w:b/>
          <w:bCs/>
          <w:color w:val="000000"/>
          <w:sz w:val="24"/>
          <w:szCs w:val="24"/>
          <w:highlight w:val="none"/>
        </w:rPr>
      </w:r>
      <w:r/>
    </w:p>
    <w:p>
      <w:pPr>
        <w:pStyle w:val="801"/>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3.1.1.1</w:t>
      </w:r>
      <w:r>
        <w:rPr>
          <w:rFonts w:hint="eastAsia" w:ascii="宋体" w:hAnsi="宋体" w:eastAsia="宋体" w:cs="宋体"/>
          <w:color w:val="000000"/>
          <w:sz w:val="24"/>
          <w:szCs w:val="24"/>
          <w:highlight w:val="none"/>
        </w:rPr>
        <w:t xml:space="preserve">监理人在行使下列权利前需要经发包人事先批准：</w:t>
      </w:r>
      <w:r>
        <w:rPr>
          <w:rFonts w:hint="eastAsia" w:ascii="宋体" w:hAnsi="宋体" w:eastAsia="宋体" w:cs="宋体"/>
          <w:color w:val="000000"/>
          <w:sz w:val="24"/>
          <w:szCs w:val="24"/>
          <w:highlight w:val="none"/>
        </w:rPr>
      </w:r>
      <w:r/>
    </w:p>
    <w:p>
      <w:pPr>
        <w:pStyle w:val="801"/>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⑴根据第4.3款，同意分包本工程的非主体和非关键性工作；</w:t>
      </w:r>
      <w:r>
        <w:rPr>
          <w:rFonts w:hint="eastAsia" w:ascii="宋体" w:hAnsi="宋体" w:eastAsia="宋体" w:cs="宋体"/>
          <w:color w:val="000000"/>
          <w:sz w:val="24"/>
          <w:szCs w:val="24"/>
          <w:highlight w:val="none"/>
        </w:rPr>
      </w:r>
      <w:r/>
    </w:p>
    <w:p>
      <w:pPr>
        <w:pStyle w:val="801"/>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⑵根据第4.11款下产生的费用增加额；</w:t>
      </w:r>
      <w:r>
        <w:rPr>
          <w:rFonts w:hint="eastAsia" w:ascii="宋体" w:hAnsi="宋体" w:eastAsia="宋体" w:cs="宋体"/>
          <w:color w:val="000000"/>
          <w:sz w:val="24"/>
          <w:szCs w:val="24"/>
          <w:highlight w:val="none"/>
        </w:rPr>
      </w:r>
      <w:r/>
    </w:p>
    <w:p>
      <w:pPr>
        <w:pStyle w:val="801"/>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⑶根据第11.3款、12.3款、12.4款发布开工通知、暂停施工指示或复工通知；</w:t>
      </w:r>
      <w:r>
        <w:rPr>
          <w:rFonts w:hint="eastAsia" w:ascii="宋体" w:hAnsi="宋体" w:eastAsia="宋体" w:cs="宋体"/>
          <w:color w:val="000000"/>
          <w:sz w:val="24"/>
          <w:szCs w:val="24"/>
          <w:highlight w:val="none"/>
        </w:rPr>
      </w:r>
      <w:r/>
    </w:p>
    <w:p>
      <w:pPr>
        <w:pStyle w:val="801"/>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⑷决定第11.3款、11.4款下的工期延长；</w:t>
      </w:r>
      <w:r>
        <w:rPr>
          <w:rFonts w:hint="eastAsia" w:ascii="宋体" w:hAnsi="宋体" w:eastAsia="宋体" w:cs="宋体"/>
          <w:color w:val="000000"/>
          <w:sz w:val="24"/>
          <w:szCs w:val="24"/>
          <w:highlight w:val="none"/>
        </w:rPr>
      </w:r>
      <w:r/>
    </w:p>
    <w:p>
      <w:pPr>
        <w:pStyle w:val="801"/>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⑸审查批准技术标准和要求或设计的变更；</w:t>
      </w:r>
      <w:r>
        <w:rPr>
          <w:rFonts w:hint="eastAsia" w:ascii="宋体" w:hAnsi="宋体" w:eastAsia="宋体" w:cs="宋体"/>
          <w:color w:val="000000"/>
          <w:sz w:val="24"/>
          <w:szCs w:val="24"/>
          <w:highlight w:val="none"/>
        </w:rPr>
      </w:r>
      <w:r/>
    </w:p>
    <w:p>
      <w:pPr>
        <w:pStyle w:val="801"/>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⑹根据第15.3款发出的变更指令，确定变更价格；</w:t>
      </w:r>
      <w:r>
        <w:rPr>
          <w:rFonts w:hint="eastAsia" w:ascii="宋体" w:hAnsi="宋体" w:eastAsia="宋体" w:cs="宋体"/>
          <w:color w:val="000000"/>
          <w:sz w:val="24"/>
          <w:szCs w:val="24"/>
          <w:highlight w:val="none"/>
        </w:rPr>
      </w:r>
      <w:r/>
    </w:p>
    <w:p>
      <w:pPr>
        <w:pStyle w:val="801"/>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⑺确定第15.4款下变更工作的单价；</w:t>
      </w:r>
      <w:r>
        <w:rPr>
          <w:rFonts w:hint="eastAsia" w:ascii="宋体" w:hAnsi="宋体" w:eastAsia="宋体" w:cs="宋体"/>
          <w:color w:val="000000"/>
          <w:sz w:val="24"/>
          <w:szCs w:val="24"/>
          <w:highlight w:val="none"/>
        </w:rPr>
      </w:r>
      <w:r/>
    </w:p>
    <w:p>
      <w:pPr>
        <w:pStyle w:val="801"/>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⑻)按照第15.6款决定有关暂列金额的使用；</w:t>
      </w:r>
      <w:r>
        <w:rPr>
          <w:rFonts w:hint="eastAsia" w:ascii="宋体" w:hAnsi="宋体" w:eastAsia="宋体" w:cs="宋体"/>
          <w:color w:val="000000"/>
          <w:sz w:val="24"/>
          <w:szCs w:val="24"/>
          <w:highlight w:val="none"/>
        </w:rPr>
      </w:r>
      <w:r/>
    </w:p>
    <w:p>
      <w:pPr>
        <w:pStyle w:val="801"/>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⑼确定第15.8款项下的暂估价金额；</w:t>
      </w:r>
      <w:r>
        <w:rPr>
          <w:rFonts w:hint="eastAsia" w:ascii="宋体" w:hAnsi="宋体" w:eastAsia="宋体" w:cs="宋体"/>
          <w:color w:val="000000"/>
          <w:sz w:val="24"/>
          <w:szCs w:val="24"/>
          <w:highlight w:val="none"/>
        </w:rPr>
      </w:r>
      <w:r/>
    </w:p>
    <w:p>
      <w:pPr>
        <w:pStyle w:val="801"/>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⑽)根据第16.1款规定，确定材料价格波动调整的合同价格；</w:t>
      </w:r>
      <w:r>
        <w:rPr>
          <w:rFonts w:hint="eastAsia" w:ascii="宋体" w:hAnsi="宋体" w:eastAsia="宋体" w:cs="宋体"/>
          <w:color w:val="000000"/>
          <w:sz w:val="24"/>
          <w:szCs w:val="24"/>
          <w:highlight w:val="none"/>
        </w:rPr>
      </w:r>
      <w:r/>
    </w:p>
    <w:p>
      <w:pPr>
        <w:pStyle w:val="801"/>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⑾确定第23.1款项下的索赔额。</w:t>
      </w:r>
      <w:r>
        <w:rPr>
          <w:rFonts w:hint="eastAsia" w:ascii="宋体" w:hAnsi="宋体" w:eastAsia="宋体" w:cs="宋体"/>
          <w:color w:val="000000"/>
          <w:sz w:val="24"/>
          <w:szCs w:val="24"/>
          <w:highlight w:val="none"/>
        </w:rPr>
      </w:r>
      <w:r/>
    </w:p>
    <w:p>
      <w:pPr>
        <w:pStyle w:val="801"/>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如果发生紧急情况，监理人认为将造成人员伤亡，或危及本工程或邻近的财产需立即采取行动，监理人有权在未征得发包人的批准的情况下发布处理紧急情况所必需的指令，承包人应予执行。监理人应按第3.5款商定或确定因上述指令产生的合同价格的增加额。</w:t>
      </w:r>
      <w:r>
        <w:rPr>
          <w:rFonts w:hint="eastAsia" w:ascii="宋体" w:hAnsi="宋体" w:eastAsia="宋体" w:cs="宋体"/>
          <w:color w:val="000000"/>
          <w:sz w:val="24"/>
          <w:szCs w:val="24"/>
          <w:highlight w:val="none"/>
        </w:rPr>
      </w:r>
      <w:r/>
    </w:p>
    <w:p>
      <w:pPr>
        <w:pStyle w:val="801"/>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w:t>
      </w:r>
      <w:r>
        <w:rPr>
          <w:rFonts w:hint="eastAsia" w:ascii="宋体" w:hAnsi="宋体" w:eastAsia="宋体" w:cs="宋体"/>
          <w:color w:val="000000"/>
          <w:sz w:val="24"/>
          <w:szCs w:val="24"/>
          <w:highlight w:val="none"/>
          <w:lang w:val="en-US" w:eastAsia="zh-CN"/>
        </w:rPr>
        <w:t xml:space="preserve">1.2</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pacing w:val="-2"/>
          <w:sz w:val="24"/>
          <w:szCs w:val="24"/>
          <w:highlight w:val="none"/>
        </w:rPr>
        <w:t xml:space="preserve">监理人还应遵照《水运工程施工监理规范》以及监理规程行使职权。发包人将根据江苏省交通运输行业有关监理规定的文件编制适合本标段的监理管理办法，监理人应遵守上述办法规定</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01"/>
        <w:ind w:left="0" w:right="0"/>
        <w:jc w:val="both"/>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3.5  商定或确定</w:t>
      </w:r>
      <w:r>
        <w:rPr>
          <w:rFonts w:hint="eastAsia" w:ascii="宋体" w:hAnsi="宋体" w:eastAsia="宋体" w:cs="宋体"/>
          <w:b/>
          <w:bCs/>
          <w:color w:val="000000"/>
          <w:sz w:val="24"/>
          <w:szCs w:val="24"/>
          <w:highlight w:val="none"/>
        </w:rPr>
      </w:r>
      <w:r/>
    </w:p>
    <w:p>
      <w:pPr>
        <w:pStyle w:val="801"/>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3.5.1项补充：如果这项商定或确定导致费用增加和（或）工期延长，或者涉及确定变更工程的价格，则总监理工程师在发出通知前，应征得发包人的同意。</w:t>
      </w:r>
      <w:r>
        <w:rPr>
          <w:rFonts w:hint="eastAsia" w:ascii="宋体" w:hAnsi="宋体" w:eastAsia="宋体" w:cs="宋体"/>
          <w:color w:val="000000"/>
          <w:sz w:val="24"/>
          <w:szCs w:val="24"/>
          <w:highlight w:val="none"/>
        </w:rPr>
      </w:r>
      <w:r/>
    </w:p>
    <w:p>
      <w:pPr>
        <w:pStyle w:val="801"/>
        <w:ind w:left="0" w:right="0"/>
        <w:jc w:val="both"/>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4  承包人</w:t>
      </w:r>
      <w:r>
        <w:rPr>
          <w:rFonts w:hint="eastAsia" w:ascii="宋体" w:hAnsi="宋体" w:eastAsia="宋体" w:cs="宋体"/>
          <w:b/>
          <w:bCs/>
          <w:color w:val="000000"/>
          <w:sz w:val="24"/>
          <w:szCs w:val="24"/>
          <w:highlight w:val="none"/>
        </w:rPr>
      </w:r>
      <w:r/>
    </w:p>
    <w:p>
      <w:pPr>
        <w:pStyle w:val="801"/>
        <w:ind w:left="0" w:right="0"/>
        <w:jc w:val="both"/>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4.1 承包人的一般义务</w:t>
      </w:r>
      <w:r>
        <w:rPr>
          <w:rFonts w:hint="eastAsia" w:ascii="宋体" w:hAnsi="宋体" w:eastAsia="宋体" w:cs="宋体"/>
          <w:b/>
          <w:bCs/>
          <w:color w:val="000000"/>
          <w:sz w:val="24"/>
          <w:szCs w:val="24"/>
          <w:highlight w:val="none"/>
        </w:rPr>
      </w:r>
      <w:r/>
    </w:p>
    <w:p>
      <w:pPr>
        <w:pStyle w:val="801"/>
        <w:ind w:left="0" w:right="0" w:firstLine="480"/>
        <w:jc w:val="both"/>
        <w:keepLines w:val="0"/>
        <w:keepNext w:val="0"/>
        <w:pageBreakBefore w:val="0"/>
        <w:spacing w:line="36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4.1.5 保证工程施工和人员的安全</w:t>
      </w:r>
      <w:r>
        <w:rPr>
          <w:rFonts w:hint="eastAsia" w:ascii="宋体" w:hAnsi="宋体" w:eastAsia="宋体" w:cs="宋体"/>
          <w:color w:val="000000"/>
          <w:sz w:val="24"/>
          <w:szCs w:val="24"/>
          <w:highlight w:val="none"/>
          <w:lang w:val="en-US" w:eastAsia="zh-CN"/>
        </w:rPr>
        <w:t xml:space="preserve">增加以下条款：</w:t>
      </w:r>
      <w:r>
        <w:rPr>
          <w:rFonts w:ascii="宋体" w:hAnsi="宋体" w:eastAsia="宋体" w:cs="宋体"/>
          <w:color w:val="000000"/>
          <w:sz w:val="24"/>
          <w:szCs w:val="24"/>
          <w:highlight w:val="none"/>
          <w:lang w:val="en-US" w:eastAsia="zh-CN"/>
        </w:rPr>
      </w:r>
      <w:r/>
    </w:p>
    <w:p>
      <w:pPr>
        <w:pStyle w:val="801"/>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4.1.5.1 承包人应按国家和有关部门的规定，对施工现场人员和施工船舶、机械、设备的防台风、防突风、防风暴潮、防汛、防雷击等进行安全管理，对施工现场加强治安防范和消防安全防护措施，并承担由于措施不力造成的事故责任和由此发生的费用。</w:t>
      </w:r>
      <w:r>
        <w:rPr>
          <w:rFonts w:hint="eastAsia" w:ascii="宋体" w:hAnsi="宋体" w:eastAsia="宋体" w:cs="宋体"/>
          <w:color w:val="000000"/>
          <w:sz w:val="24"/>
          <w:szCs w:val="24"/>
          <w:highlight w:val="none"/>
        </w:rPr>
      </w:r>
      <w:r/>
    </w:p>
    <w:p>
      <w:pPr>
        <w:pStyle w:val="801"/>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4.1.5.2 承包人在高压线、水上、水下及地下管线、易燃、易爆地段或其他有害环境下施工时，施工前应提出安全保护措施，经监理人审查同意后实施。监理人的同意不能免除承包人应承担的责任。防护措施费用由承包人承担。</w:t>
      </w:r>
      <w:r>
        <w:rPr>
          <w:rFonts w:hint="eastAsia" w:ascii="宋体" w:hAnsi="宋体" w:eastAsia="宋体" w:cs="宋体"/>
          <w:color w:val="000000"/>
          <w:sz w:val="24"/>
          <w:szCs w:val="24"/>
          <w:highlight w:val="none"/>
        </w:rPr>
      </w:r>
      <w:r/>
    </w:p>
    <w:p>
      <w:pPr>
        <w:pStyle w:val="801"/>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4.1.5.3 施工现场发生安全事故时，承包人应立即采取有效措施，并将事故情况按规定上报有关部</w:t>
      </w:r>
      <w:r>
        <w:rPr>
          <w:rFonts w:hint="eastAsia" w:ascii="宋体" w:hAnsi="宋体" w:eastAsia="宋体" w:cs="宋体"/>
          <w:color w:val="000000"/>
          <w:sz w:val="24"/>
          <w:szCs w:val="24"/>
          <w:highlight w:val="none"/>
          <w:lang w:val="en-US" w:eastAsia="zh-CN"/>
        </w:rPr>
        <w:t xml:space="preserve">门</w:t>
      </w:r>
      <w:r>
        <w:rPr>
          <w:rFonts w:hint="eastAsia" w:ascii="宋体" w:hAnsi="宋体" w:eastAsia="宋体" w:cs="宋体"/>
          <w:color w:val="000000"/>
          <w:sz w:val="24"/>
          <w:szCs w:val="24"/>
          <w:highlight w:val="none"/>
        </w:rPr>
        <w:t xml:space="preserve">并报告发包人与监理人。</w:t>
      </w:r>
      <w:r>
        <w:rPr>
          <w:rFonts w:hint="eastAsia" w:ascii="宋体" w:hAnsi="宋体" w:eastAsia="宋体" w:cs="宋体"/>
          <w:color w:val="000000"/>
          <w:sz w:val="24"/>
          <w:szCs w:val="24"/>
          <w:highlight w:val="none"/>
        </w:rPr>
      </w:r>
      <w:r/>
    </w:p>
    <w:p>
      <w:pPr>
        <w:pStyle w:val="801"/>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4.1.10 其他义务</w:t>
      </w:r>
      <w:r>
        <w:rPr>
          <w:rFonts w:hint="eastAsia" w:ascii="宋体" w:hAnsi="宋体" w:eastAsia="宋体" w:cs="宋体"/>
          <w:color w:val="000000"/>
          <w:sz w:val="24"/>
          <w:szCs w:val="24"/>
          <w:highlight w:val="none"/>
        </w:rPr>
      </w:r>
      <w:r/>
    </w:p>
    <w:p>
      <w:pPr>
        <w:pStyle w:val="801"/>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4.1.10.1 承包人应在开工3天前进驻施工场地，并将开工所需施工船舶、机械、设备按照合同约定进场到位。承包人必须组织采用证照、手续齐全，性能良好，确保能安全施工的船舶、机械、设备进行各项施工，在施工过程中所发生的一切安全责任均由承包人自行承担。</w:t>
      </w:r>
      <w:r>
        <w:rPr>
          <w:rFonts w:hint="eastAsia" w:ascii="宋体" w:hAnsi="宋体" w:eastAsia="宋体" w:cs="宋体"/>
          <w:color w:val="000000"/>
          <w:sz w:val="24"/>
          <w:szCs w:val="24"/>
          <w:highlight w:val="none"/>
          <w:u w:val="single"/>
        </w:rPr>
      </w:r>
      <w:r/>
    </w:p>
    <w:p>
      <w:pPr>
        <w:pStyle w:val="801"/>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4.1.10.2 承包人按照批准的临时设施总平面布置图及相关生活配套设施，负责施工现场的布置和临时设施的施工。承包人的驻地建设应满足发包人的要求。</w:t>
      </w:r>
      <w:r>
        <w:rPr>
          <w:rFonts w:hint="eastAsia" w:ascii="宋体" w:hAnsi="宋体" w:eastAsia="宋体" w:cs="宋体"/>
          <w:color w:val="000000"/>
          <w:sz w:val="24"/>
          <w:szCs w:val="24"/>
          <w:highlight w:val="none"/>
        </w:rPr>
      </w:r>
      <w:r/>
    </w:p>
    <w:p>
      <w:pPr>
        <w:pStyle w:val="801"/>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4.1.10.3 承包人应妥善处理好与工程其他承包人的配合关系。发生交叉施工时，承包人和工程其他承包人应互相配合，友好协作，并服从监理人的统一协调。承包人由此增加的费用（如：由此而引起的局部临时停工等造成的费用增加）应认为已包括在承包人的合同价格之中，发包人不另行支付。</w:t>
      </w:r>
      <w:r>
        <w:rPr>
          <w:rFonts w:hint="eastAsia" w:ascii="宋体" w:hAnsi="宋体" w:eastAsia="宋体" w:cs="宋体"/>
          <w:color w:val="000000"/>
          <w:sz w:val="24"/>
          <w:szCs w:val="24"/>
          <w:highlight w:val="none"/>
        </w:rPr>
      </w:r>
      <w:r/>
    </w:p>
    <w:p>
      <w:pPr>
        <w:pStyle w:val="801"/>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4.1.10.4 承包人应根据工程施工情况及监理人的指令，及时向监理人提交开工报告、测量报告、试验检验报告、隐蔽工程验收通知、工程质量自检报告、竣工验收申请报告及工程事故报告等。</w:t>
      </w:r>
      <w:r>
        <w:rPr>
          <w:rFonts w:hint="eastAsia" w:ascii="宋体" w:hAnsi="宋体" w:eastAsia="宋体" w:cs="宋体"/>
          <w:color w:val="000000"/>
          <w:sz w:val="24"/>
          <w:szCs w:val="24"/>
          <w:highlight w:val="none"/>
        </w:rPr>
      </w:r>
      <w:r/>
    </w:p>
    <w:p>
      <w:pPr>
        <w:pStyle w:val="801"/>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4.1.10.5 承包人应支付为获得施工许可证及到海事船舶检验等有关证件所需的费用；办理应由承包人办理的施工所需各种证件、批件和其他审批手续。</w:t>
      </w:r>
      <w:r>
        <w:rPr>
          <w:rFonts w:hint="eastAsia" w:ascii="宋体" w:hAnsi="宋体" w:eastAsia="宋体" w:cs="宋体"/>
          <w:color w:val="000000"/>
          <w:sz w:val="24"/>
          <w:szCs w:val="24"/>
          <w:highlight w:val="none"/>
        </w:rPr>
      </w:r>
      <w:r/>
    </w:p>
    <w:p>
      <w:pPr>
        <w:pStyle w:val="801"/>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4.1.10.6 承包人应解决施工船舶的临时停泊设施并不得</w:t>
      </w:r>
      <w:r>
        <w:rPr>
          <w:rFonts w:hint="eastAsia" w:ascii="宋体" w:hAnsi="宋体" w:eastAsia="宋体" w:cs="宋体"/>
          <w:color w:val="000000"/>
          <w:sz w:val="24"/>
          <w:szCs w:val="24"/>
          <w:highlight w:val="none"/>
          <w:lang w:val="en-US" w:eastAsia="zh-CN"/>
        </w:rPr>
        <w:t xml:space="preserve">妨碍船闸正常运行</w:t>
      </w:r>
      <w:r>
        <w:rPr>
          <w:rFonts w:hint="eastAsia" w:ascii="宋体" w:hAnsi="宋体" w:eastAsia="宋体" w:cs="宋体"/>
          <w:color w:val="000000"/>
          <w:sz w:val="24"/>
          <w:szCs w:val="24"/>
          <w:highlight w:val="none"/>
        </w:rPr>
        <w:t xml:space="preserve">，保证船舶在施工水域内航行安全和畅通。工程施工过程中，如工程确需影响到</w:t>
      </w:r>
      <w:r>
        <w:rPr>
          <w:rFonts w:hint="eastAsia" w:ascii="宋体" w:hAnsi="宋体" w:eastAsia="宋体" w:cs="宋体"/>
          <w:color w:val="000000"/>
          <w:sz w:val="24"/>
          <w:szCs w:val="24"/>
          <w:highlight w:val="none"/>
          <w:lang w:val="en-US" w:eastAsia="zh-CN"/>
        </w:rPr>
        <w:t xml:space="preserve">船闸正常运行和航道畅通</w:t>
      </w:r>
      <w:r>
        <w:rPr>
          <w:rFonts w:hint="eastAsia" w:ascii="宋体" w:hAnsi="宋体" w:eastAsia="宋体" w:cs="宋体"/>
          <w:color w:val="000000"/>
          <w:sz w:val="24"/>
          <w:szCs w:val="24"/>
          <w:highlight w:val="none"/>
        </w:rPr>
        <w:t xml:space="preserve">，承包人应申报监理人与发包人，并自行向相关部</w:t>
      </w:r>
      <w:r>
        <w:rPr>
          <w:rFonts w:hint="eastAsia" w:ascii="宋体" w:hAnsi="宋体" w:eastAsia="宋体" w:cs="宋体"/>
          <w:color w:val="000000"/>
          <w:sz w:val="24"/>
          <w:szCs w:val="24"/>
          <w:highlight w:val="none"/>
        </w:rPr>
        <w:t xml:space="preserve">门申报（发包人可协助协调）获得批准后方可继续施工，并尽可能地缩短影响时间，因承包人的不作为或未按上述要求办理相关事宜而造成的有关部门的损失或相关费用，由承包人承担。承包人应在不干扰航道正常运营和水利防洪等的前提下合理组织施工，服从监理人、发包人的统一安排。并应合理安排工期以尽可能避开汛期进行水中施工，确保汛期施工的安全和施工质量。承包人应对上述所有工作负责，发包人将根据承包人的要求给予适当协助。承包人采取上述措施而可能发生的全部费用应已包含在合同价格中，发包人将不另行支付。如因承包人采取的措施不力，影响航道</w:t>
      </w:r>
      <w:r>
        <w:rPr>
          <w:rFonts w:hint="eastAsia" w:ascii="宋体" w:hAnsi="宋体" w:eastAsia="宋体" w:cs="宋体"/>
          <w:color w:val="000000"/>
          <w:sz w:val="24"/>
          <w:szCs w:val="24"/>
          <w:highlight w:val="none"/>
          <w:lang w:val="en-US" w:eastAsia="zh-CN"/>
        </w:rPr>
        <w:t xml:space="preserve">通航安全</w:t>
      </w:r>
      <w:r>
        <w:rPr>
          <w:rFonts w:hint="eastAsia" w:ascii="宋体" w:hAnsi="宋体" w:eastAsia="宋体" w:cs="宋体"/>
          <w:color w:val="000000"/>
          <w:sz w:val="24"/>
          <w:szCs w:val="24"/>
          <w:highlight w:val="none"/>
        </w:rPr>
        <w:t xml:space="preserve">给其它部门或个人造成的一切损失、或由上述原因造成本工程工期的拖延或施工费用的增加，均由承包人自行负责。</w:t>
      </w:r>
      <w:r>
        <w:rPr>
          <w:rFonts w:hint="eastAsia" w:ascii="宋体" w:hAnsi="宋体" w:eastAsia="宋体" w:cs="宋体"/>
          <w:color w:val="000000"/>
          <w:sz w:val="24"/>
          <w:szCs w:val="24"/>
          <w:highlight w:val="none"/>
        </w:rPr>
      </w:r>
      <w:r/>
    </w:p>
    <w:p>
      <w:pPr>
        <w:pStyle w:val="801"/>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4.1.10.7 </w:t>
      </w:r>
      <w:r>
        <w:rPr>
          <w:rFonts w:hint="eastAsia" w:ascii="宋体" w:hAnsi="宋体" w:eastAsia="宋体" w:cs="宋体"/>
          <w:color w:val="000000"/>
          <w:sz w:val="24"/>
          <w:szCs w:val="24"/>
          <w:highlight w:val="none"/>
          <w:lang w:val="en-US" w:eastAsia="zh-CN"/>
        </w:rPr>
        <w:t xml:space="preserve">承包人拆除的所有设备材料不得影响航道的正常运行，应及时清运。</w:t>
      </w:r>
      <w:r>
        <w:rPr>
          <w:rFonts w:hint="eastAsia" w:ascii="宋体" w:hAnsi="宋体" w:eastAsia="宋体" w:cs="宋体"/>
          <w:color w:val="000000"/>
          <w:sz w:val="24"/>
          <w:szCs w:val="24"/>
          <w:highlight w:val="none"/>
          <w:lang w:val="en-US" w:eastAsia="zh-CN"/>
        </w:rPr>
      </w:r>
      <w:r/>
    </w:p>
    <w:p>
      <w:pPr>
        <w:pStyle w:val="801"/>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4.1.10.7.1承包人应采取一切措施，防止施工船舶、机械、设备及材料的沉没。若发生沉没，应立即向有关部门报告，并及时通知发包人与监理人。承包人应采取得当措施，及时设置浮标或障碍指示灯，直至打捞工作完成为止。</w:t>
      </w:r>
      <w:r>
        <w:rPr>
          <w:rFonts w:hint="eastAsia" w:ascii="宋体" w:hAnsi="宋体" w:eastAsia="宋体" w:cs="宋体"/>
          <w:color w:val="000000"/>
          <w:sz w:val="24"/>
          <w:szCs w:val="24"/>
          <w:highlight w:val="none"/>
        </w:rPr>
      </w:r>
      <w:r/>
    </w:p>
    <w:p>
      <w:pPr>
        <w:pStyle w:val="801"/>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4.1.10.8 承包人应充分考虑到施工现场所有的设备、临时建筑等防火安全，配备足够的防火设备。</w:t>
      </w:r>
      <w:r>
        <w:rPr>
          <w:rFonts w:hint="eastAsia" w:ascii="宋体" w:hAnsi="宋体" w:eastAsia="宋体" w:cs="宋体"/>
          <w:color w:val="000000"/>
          <w:sz w:val="24"/>
          <w:szCs w:val="24"/>
          <w:highlight w:val="none"/>
        </w:rPr>
      </w:r>
      <w:r/>
    </w:p>
    <w:p>
      <w:pPr>
        <w:pStyle w:val="801"/>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4.1.10.9 承包人应在施工过程中对工程建筑物进行监测，并承担相应费用。</w:t>
      </w:r>
      <w:r>
        <w:rPr>
          <w:rFonts w:hint="eastAsia" w:ascii="宋体" w:hAnsi="宋体" w:eastAsia="宋体" w:cs="宋体"/>
          <w:color w:val="000000"/>
          <w:sz w:val="24"/>
          <w:szCs w:val="24"/>
          <w:highlight w:val="none"/>
        </w:rPr>
      </w:r>
      <w:r/>
    </w:p>
    <w:p>
      <w:pPr>
        <w:pStyle w:val="801"/>
        <w:ind w:left="0" w:right="0" w:firstLine="480"/>
        <w:jc w:val="both"/>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4.1.10.10工程实施过程中，承包人应做好海事、水利、渔政、林业、航政、环保等部门的沟通、协调工作，施工期间本项目施工区域范围内海事、水利、渔政、林业、航政、环保等相关主管部门可能会根据各部门相关管理规定收取规费，相关费用由承包人自行考虑并承担，不单独计列，包含在承包人的投标总价及单价中。</w:t>
      </w:r>
      <w:r>
        <w:rPr>
          <w:rFonts w:hint="eastAsia" w:ascii="宋体" w:hAnsi="宋体" w:eastAsia="宋体" w:cs="宋体"/>
          <w:bCs/>
          <w:color w:val="000000"/>
          <w:sz w:val="24"/>
          <w:szCs w:val="24"/>
          <w:highlight w:val="none"/>
        </w:rPr>
      </w:r>
      <w:r/>
    </w:p>
    <w:p>
      <w:pPr>
        <w:pStyle w:val="801"/>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4.1.10.11 承包人在施工前必须对邻近现有的建筑物、构造物、管道管线（供水、燃气、通信、盐卤管道等）以及其他工程设施的作详尽的调查，做好各种保护措施，确保施工过程中不影响原有设施的安全与正常使用。如果由于承包人的原因导致各类损坏，由此产生的索赔、赔偿、诉讼费用及其它开支均由承包人承担。</w:t>
      </w:r>
      <w:r>
        <w:rPr>
          <w:rFonts w:hint="eastAsia" w:ascii="宋体" w:hAnsi="宋体" w:eastAsia="宋体" w:cs="宋体"/>
          <w:color w:val="000000"/>
          <w:sz w:val="24"/>
          <w:szCs w:val="24"/>
          <w:highlight w:val="none"/>
        </w:rPr>
        <w:t xml:space="preserve">承包人</w:t>
      </w:r>
      <w:r>
        <w:rPr>
          <w:rFonts w:hint="eastAsia" w:ascii="宋体" w:hAnsi="宋体" w:eastAsia="宋体" w:cs="宋体"/>
          <w:color w:val="000000"/>
          <w:sz w:val="24"/>
          <w:szCs w:val="24"/>
          <w:highlight w:val="none"/>
        </w:rPr>
        <w:t xml:space="preserve">在进行现场考察及投标时需充分考虑，相关费用包含在</w:t>
      </w:r>
      <w:r>
        <w:rPr>
          <w:rFonts w:hint="eastAsia" w:ascii="宋体" w:hAnsi="宋体" w:eastAsia="宋体" w:cs="宋体"/>
          <w:color w:val="000000"/>
          <w:sz w:val="24"/>
          <w:szCs w:val="24"/>
          <w:highlight w:val="none"/>
        </w:rPr>
        <w:t xml:space="preserve">承包人</w:t>
      </w:r>
      <w:r>
        <w:rPr>
          <w:rFonts w:hint="eastAsia" w:ascii="宋体" w:hAnsi="宋体" w:eastAsia="宋体" w:cs="宋体"/>
          <w:color w:val="000000"/>
          <w:sz w:val="24"/>
          <w:szCs w:val="24"/>
          <w:highlight w:val="none"/>
        </w:rPr>
        <w:t xml:space="preserve">的投标总价中。</w:t>
      </w:r>
      <w:r>
        <w:rPr>
          <w:rFonts w:hint="eastAsia" w:ascii="宋体" w:hAnsi="宋体" w:eastAsia="宋体" w:cs="宋体"/>
          <w:color w:val="000000"/>
          <w:sz w:val="24"/>
          <w:szCs w:val="24"/>
          <w:highlight w:val="none"/>
        </w:rPr>
      </w:r>
      <w:r/>
    </w:p>
    <w:p>
      <w:pPr>
        <w:pStyle w:val="801"/>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4.1.10.12 施工船舶临时停泊水域由承包人自行解决，发包人协助办理。由此产生的费用含入工程量清单中相关工程细目的单价及总额价中，发包人不另计列。</w:t>
      </w:r>
      <w:r>
        <w:rPr>
          <w:rFonts w:hint="eastAsia" w:ascii="宋体" w:hAnsi="宋体" w:eastAsia="宋体" w:cs="宋体"/>
          <w:color w:val="000000"/>
          <w:sz w:val="24"/>
          <w:szCs w:val="24"/>
          <w:highlight w:val="none"/>
        </w:rPr>
      </w:r>
      <w:r/>
    </w:p>
    <w:p>
      <w:pPr>
        <w:pStyle w:val="801"/>
        <w:ind w:left="0" w:right="0" w:firstLine="480"/>
        <w:jc w:val="both"/>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4.1.10.13 工程实施过程中，质量检测、试验项目可委托相应行业的具有资质和检测能力的单位进行，但该外委单位必须征得发包人和监理人的同意，且费用由承包人承担。</w:t>
      </w:r>
      <w:r>
        <w:rPr>
          <w:rFonts w:hint="eastAsia" w:ascii="宋体" w:hAnsi="宋体" w:eastAsia="宋体" w:cs="宋体"/>
          <w:bCs/>
          <w:color w:val="000000"/>
          <w:sz w:val="24"/>
          <w:szCs w:val="24"/>
          <w:highlight w:val="none"/>
        </w:rPr>
      </w:r>
      <w:r/>
    </w:p>
    <w:p>
      <w:pPr>
        <w:pStyle w:val="801"/>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4.1.10.14 </w:t>
      </w:r>
      <w:r>
        <w:rPr>
          <w:rFonts w:hint="eastAsia" w:ascii="宋体" w:hAnsi="宋体" w:eastAsia="宋体" w:cs="宋体"/>
          <w:color w:val="000000"/>
          <w:sz w:val="24"/>
          <w:szCs w:val="24"/>
          <w:highlight w:val="none"/>
        </w:rPr>
        <w:t xml:space="preserve">承包人应对全部现场作业和施工方法的适用性、可靠性和安全性承担全部责任。合同实施期间，采用新的或更高的标准或规范，合同价格不予调整。因设计变更影响，承包人应因时制宜及时对施工组织和生产要素(工、料、机等)作好调整安排，避免造成停工停机损失。若承包人未及时做好妥善调整和安排，发包人不承担由此引起的索赔和补偿。</w:t>
      </w:r>
      <w:r>
        <w:rPr>
          <w:rFonts w:hint="eastAsia" w:ascii="宋体" w:hAnsi="宋体" w:eastAsia="宋体" w:cs="宋体"/>
          <w:color w:val="000000"/>
          <w:sz w:val="24"/>
          <w:szCs w:val="24"/>
          <w:highlight w:val="none"/>
        </w:rPr>
      </w:r>
      <w:r/>
    </w:p>
    <w:p>
      <w:pPr>
        <w:pStyle w:val="801"/>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4.1.10.15 承包人为实施合同工程需要的施工用水、用电等，由承包人自行负责解决，并执行有关部门的用电、用水等管理，为此而发生的一切费用应列入相应价格中，发包人不另行支付。</w:t>
      </w:r>
      <w:r>
        <w:rPr>
          <w:rFonts w:hint="eastAsia" w:ascii="宋体" w:hAnsi="宋体" w:eastAsia="宋体" w:cs="宋体"/>
          <w:color w:val="000000"/>
          <w:sz w:val="24"/>
          <w:szCs w:val="24"/>
          <w:highlight w:val="none"/>
        </w:rPr>
      </w:r>
      <w:r/>
    </w:p>
    <w:p>
      <w:pPr>
        <w:pStyle w:val="801"/>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4.1.10.16 承包人必须加强对地下管线等相关隐蔽设施的保护，承包人必须事先查明情况，办理相关施工交底手续后，方可进行对隐蔽设施可能产生影响的相关项目施工，否则造成后果，除了由承包人自行承担一切责任外，发包人还将严肃追究承包人的违约责任。</w:t>
      </w:r>
      <w:r>
        <w:rPr>
          <w:rFonts w:hint="eastAsia" w:ascii="宋体" w:hAnsi="宋体" w:eastAsia="宋体" w:cs="宋体"/>
          <w:color w:val="000000"/>
          <w:sz w:val="24"/>
          <w:szCs w:val="24"/>
          <w:highlight w:val="none"/>
        </w:rPr>
      </w:r>
      <w:r/>
    </w:p>
    <w:p>
      <w:pPr>
        <w:pStyle w:val="801"/>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4.1.10.17 已完工程未向发包人交工之前，承包人应按合同规定负责已完工程的成品保护，保护期发生损坏，承包人自费予以修复。</w:t>
      </w:r>
      <w:r>
        <w:rPr>
          <w:rFonts w:hint="eastAsia" w:ascii="宋体" w:hAnsi="宋体" w:eastAsia="宋体" w:cs="宋体"/>
          <w:color w:val="000000"/>
          <w:sz w:val="24"/>
          <w:szCs w:val="24"/>
          <w:highlight w:val="none"/>
        </w:rPr>
      </w:r>
      <w:r/>
    </w:p>
    <w:p>
      <w:pPr>
        <w:pStyle w:val="801"/>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4.1.10.18 结合当地的实际情况，一个有经验的承包人应考虑到施工过程中会发生的由于施工及各种原因造成的地方矛盾和阻工问题，承包人自行负责解决，并支付所发生的一切费用。发包人协助做好协调工作。发包人的协调不免除承包人自行解决矛盾的任何责任。</w:t>
      </w:r>
      <w:r>
        <w:rPr>
          <w:rFonts w:hint="eastAsia" w:ascii="宋体" w:hAnsi="宋体" w:eastAsia="宋体" w:cs="宋体"/>
          <w:color w:val="000000"/>
          <w:sz w:val="24"/>
          <w:szCs w:val="24"/>
          <w:highlight w:val="none"/>
        </w:rPr>
      </w:r>
      <w:r/>
    </w:p>
    <w:p>
      <w:pPr>
        <w:pStyle w:val="801"/>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4.1.10.19 施工现场通讯条件、临时交通、承包人驻地建设等，承包人应根据现场考察情况自行解决；临时工程与设施应考虑施工期施工、地方临时通行以及防汛的需要，达到以上要求所需的费用应含在承包人的投标报价中，不单独计量与支付。</w:t>
      </w:r>
      <w:r>
        <w:rPr>
          <w:rFonts w:hint="eastAsia" w:ascii="宋体" w:hAnsi="宋体" w:eastAsia="宋体" w:cs="宋体"/>
          <w:color w:val="000000"/>
          <w:sz w:val="24"/>
          <w:szCs w:val="24"/>
          <w:highlight w:val="none"/>
        </w:rPr>
      </w:r>
      <w:r/>
    </w:p>
    <w:p>
      <w:pPr>
        <w:pStyle w:val="801"/>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所有临时用地（永久征地线范围之外的一切用地）由承包人根据其施工组织计划，确定项目施工所必需的临时用地数量，进场后要在规定时间内上报临时用地计划，经监理人审核，发包人同意后方可实施。承包人自行与工程所在地政府商谈办理临时用地租用及复垦手续，并承担租用、青苗补偿、复垦及可能的地面附属构筑物复建等相关费用，发包人给予必要的协助，相关费用包含在投标报价中。</w:t>
      </w:r>
      <w:r>
        <w:rPr>
          <w:rFonts w:hint="eastAsia" w:ascii="宋体" w:hAnsi="宋体" w:eastAsia="宋体" w:cs="宋体"/>
          <w:color w:val="000000"/>
          <w:sz w:val="24"/>
          <w:szCs w:val="24"/>
          <w:highlight w:val="none"/>
        </w:rPr>
      </w:r>
      <w:r/>
    </w:p>
    <w:p>
      <w:pPr>
        <w:pStyle w:val="801"/>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到达临时用地的临时道路（桥）的修建、维护、拆除以及便道（桥）用地的租用手续和复垦、临时堆土区围堰构筑、排水设施由承包人负责并承担费用，所需的相关费用包含在投标报价中。</w:t>
      </w:r>
      <w:r>
        <w:rPr>
          <w:rFonts w:hint="eastAsia" w:ascii="宋体" w:hAnsi="宋体" w:eastAsia="宋体" w:cs="宋体"/>
          <w:color w:val="000000"/>
          <w:sz w:val="24"/>
          <w:szCs w:val="24"/>
          <w:highlight w:val="none"/>
        </w:rPr>
      </w:r>
      <w:r/>
    </w:p>
    <w:p>
      <w:pPr>
        <w:pStyle w:val="801"/>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4.1.10.20 现场施工工地需要按标准化施工工地管理要求，设置护栏、围挡、标志、标牌及其他必要的所需设备设施，营造文明、安全施工工地。</w:t>
      </w:r>
      <w:r>
        <w:rPr>
          <w:rFonts w:hint="eastAsia" w:ascii="宋体" w:hAnsi="宋体" w:eastAsia="宋体" w:cs="宋体"/>
          <w:color w:val="000000"/>
          <w:sz w:val="24"/>
          <w:szCs w:val="24"/>
          <w:highlight w:val="none"/>
        </w:rPr>
      </w:r>
      <w:r/>
    </w:p>
    <w:p>
      <w:pPr>
        <w:pStyle w:val="801"/>
        <w:ind w:firstLine="480"/>
        <w:keepLines w:val="0"/>
        <w:keepNext w:val="0"/>
        <w:pageBreakBefore w:val="0"/>
        <w:spacing w:before="95" w:line="312" w:lineRule="auto"/>
        <w:widowControl w:val="off"/>
        <w:rPr>
          <w:rFonts w:ascii="宋体" w:hAnsi="宋体" w:eastAsia="宋体" w:cs="宋体"/>
          <w:b/>
          <w:bCs/>
          <w:color w:val="000000"/>
          <w:sz w:val="21"/>
          <w:szCs w:val="21"/>
          <w:highlight w:val="none"/>
          <w:lang w:val="en-US" w:eastAsia="zh-CN"/>
        </w:rPr>
      </w:pPr>
      <w:r>
        <w:rPr>
          <w:rFonts w:hint="eastAsia" w:ascii="宋体" w:hAnsi="宋体" w:eastAsia="宋体" w:cs="宋体"/>
          <w:color w:val="000000"/>
          <w:sz w:val="24"/>
          <w:szCs w:val="24"/>
          <w:highlight w:val="none"/>
        </w:rPr>
        <w:t xml:space="preserve">4.1.10.21 根据《公路水运工程安全生产监督管理办法》（交通运输部令2017年第25号）的规定，承包人应配备相应的安全生产管理人员及设备。承包人必须组织采用证照、手续齐全，性能良好，确保能安全施工的车辆、设备进行各项施工，在施工过程中非因发包人原因所发生的一切安全事故均由承包人自行负责。</w:t>
      </w:r>
      <w:r>
        <w:rPr>
          <w:rFonts w:hint="eastAsia" w:ascii="宋体" w:hAnsi="宋体" w:eastAsia="宋体" w:cs="宋体"/>
          <w:b/>
          <w:bCs/>
          <w:color w:val="000000"/>
          <w:sz w:val="24"/>
          <w:szCs w:val="24"/>
          <w:highlight w:val="none"/>
        </w:rPr>
        <w:t xml:space="preserve">承包人根据《安全生产责任保险实施办法》的通知（应急〔2025〕27号）要求必须投保安全生产责任险，保险费用包含在安全生产费中，据实计量支付。</w:t>
      </w:r>
      <w:r>
        <w:rPr>
          <w:rFonts w:hint="eastAsia" w:ascii="宋体" w:hAnsi="宋体" w:eastAsia="宋体" w:cs="宋体"/>
          <w:b/>
          <w:bCs/>
          <w:color w:val="000000"/>
          <w:sz w:val="21"/>
          <w:szCs w:val="21"/>
          <w:highlight w:val="none"/>
        </w:rPr>
        <w:t xml:space="preserve">本项目的安全生产费用为</w:t>
      </w:r>
      <w:r>
        <w:rPr>
          <w:rFonts w:hint="eastAsia" w:ascii="宋体" w:hAnsi="宋体" w:eastAsia="宋体" w:cs="宋体"/>
          <w:b/>
          <w:bCs/>
          <w:color w:val="000000"/>
          <w:sz w:val="21"/>
          <w:szCs w:val="21"/>
          <w:highlight w:val="none"/>
          <w:lang w:val="en-US" w:eastAsia="zh-CN"/>
        </w:rPr>
        <w:t xml:space="preserve">19.2万元，</w:t>
      </w:r>
      <w:r>
        <w:rPr>
          <w:rFonts w:hint="eastAsia" w:ascii="宋体" w:hAnsi="宋体" w:eastAsia="宋体" w:cs="宋体"/>
          <w:b/>
          <w:bCs/>
          <w:color w:val="000000"/>
          <w:sz w:val="21"/>
          <w:szCs w:val="21"/>
          <w:highlight w:val="none"/>
        </w:rPr>
        <w:t xml:space="preserve">除合同另有规定，承包人在施工过程中用于安全生产、文明施工的费用超出</w:t>
      </w:r>
      <w:r>
        <w:rPr>
          <w:rFonts w:hint="eastAsia" w:ascii="宋体" w:hAnsi="宋体" w:eastAsia="宋体" w:cs="宋体"/>
          <w:b/>
          <w:bCs/>
          <w:color w:val="000000"/>
          <w:sz w:val="21"/>
          <w:szCs w:val="21"/>
          <w:highlight w:val="none"/>
          <w:lang w:val="en-US" w:eastAsia="zh-CN"/>
        </w:rPr>
        <w:t xml:space="preserve">19.2万元</w:t>
      </w:r>
      <w:r>
        <w:rPr>
          <w:rFonts w:hint="eastAsia" w:ascii="宋体" w:hAnsi="宋体" w:eastAsia="宋体" w:cs="宋体"/>
          <w:b/>
          <w:bCs/>
          <w:color w:val="000000"/>
          <w:sz w:val="21"/>
          <w:szCs w:val="21"/>
          <w:highlight w:val="none"/>
        </w:rPr>
        <w:t xml:space="preserve">的，超出部分费用承包人自行承担，视为包含在投标报价的单价中，不另行计量与支付。安全生产费用须经监理审核合格后，计量支付</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承包人</w:t>
      </w:r>
      <w:r>
        <w:rPr>
          <w:rFonts w:hint="eastAsia" w:ascii="宋体" w:hAnsi="宋体" w:eastAsia="宋体" w:cs="宋体"/>
          <w:b/>
          <w:bCs/>
          <w:color w:val="000000"/>
          <w:sz w:val="21"/>
          <w:szCs w:val="21"/>
          <w:highlight w:val="none"/>
        </w:rPr>
        <w:t xml:space="preserve">水上作业</w:t>
      </w:r>
      <w:r>
        <w:rPr>
          <w:rFonts w:hint="eastAsia" w:ascii="宋体" w:hAnsi="宋体" w:eastAsia="宋体" w:cs="宋体"/>
          <w:b/>
          <w:bCs/>
          <w:color w:val="000000"/>
          <w:sz w:val="21"/>
          <w:szCs w:val="21"/>
          <w:highlight w:val="none"/>
          <w:lang w:val="en-US" w:eastAsia="zh-CN"/>
        </w:rPr>
        <w:t xml:space="preserve">应依法办理交通</w:t>
      </w:r>
      <w:r>
        <w:rPr>
          <w:rFonts w:hint="eastAsia" w:ascii="宋体" w:hAnsi="宋体" w:eastAsia="宋体" w:cs="宋体"/>
          <w:b/>
          <w:bCs/>
          <w:color w:val="000000"/>
          <w:sz w:val="21"/>
          <w:szCs w:val="21"/>
          <w:highlight w:val="none"/>
        </w:rPr>
        <w:t xml:space="preserve">执法部门审核备案</w:t>
      </w:r>
      <w:r>
        <w:rPr>
          <w:rFonts w:hint="eastAsia" w:ascii="宋体" w:hAnsi="宋体" w:eastAsia="宋体" w:cs="宋体"/>
          <w:b/>
          <w:bCs/>
          <w:color w:val="000000"/>
          <w:sz w:val="21"/>
          <w:szCs w:val="21"/>
          <w:highlight w:val="none"/>
          <w:lang w:val="en-US" w:eastAsia="zh-CN"/>
        </w:rPr>
        <w:t xml:space="preserve">手续</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涉及危险性较大的分部分项工程和水上作业工程安全管理应严格执行现行法律法规文件规定编制专项施工方案，对于超过一定规模的危大工程，承包人编制的专项施工方案，应依法组织召开专家论证会对专项施工方案进行论证，并按照专家论证通过的专项施工方案进行实施，相关论证费用、实施所需费用在投标报价中应充分考虑，招标人不另行支付。</w:t>
      </w:r>
      <w:r>
        <w:rPr>
          <w:rFonts w:ascii="宋体" w:hAnsi="宋体" w:eastAsia="宋体" w:cs="宋体"/>
          <w:b/>
          <w:bCs/>
          <w:color w:val="000000"/>
          <w:sz w:val="21"/>
          <w:szCs w:val="21"/>
          <w:highlight w:val="none"/>
          <w:lang w:val="en-US" w:eastAsia="zh-CN"/>
        </w:rPr>
      </w:r>
      <w:r/>
    </w:p>
    <w:p>
      <w:pPr>
        <w:pStyle w:val="801"/>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01"/>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4.1.10.22 除非合同另有规定，承包人应自行聘（雇）用当地或其他来源的职员或工人，但不得从为发包人或监理人服务的人员中招聘雇员和工人。承包人雇用员工应完善劳务注册手续，并与他雇用的员工订立劳务合同，以明确双方的权利和义务。</w:t>
      </w:r>
      <w:r>
        <w:rPr>
          <w:rFonts w:hint="eastAsia" w:ascii="宋体" w:hAnsi="宋体" w:eastAsia="宋体" w:cs="宋体"/>
          <w:color w:val="000000"/>
          <w:sz w:val="24"/>
          <w:szCs w:val="24"/>
          <w:highlight w:val="none"/>
        </w:rPr>
      </w:r>
      <w:r/>
    </w:p>
    <w:p>
      <w:pPr>
        <w:pStyle w:val="801"/>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4.1.10.23</w:t>
      </w:r>
      <w:r>
        <w:rPr>
          <w:rFonts w:hint="eastAsia" w:ascii="宋体" w:hAnsi="宋体" w:eastAsia="宋体" w:cs="宋体"/>
          <w:color w:val="000000"/>
          <w:sz w:val="24"/>
          <w:szCs w:val="24"/>
          <w:highlight w:val="none"/>
          <w:lang w:val="en-US" w:eastAsia="zh-CN"/>
        </w:rPr>
        <w:t xml:space="preserve">关于竣工资料</w:t>
      </w:r>
      <w:r>
        <w:rPr>
          <w:rFonts w:hint="eastAsia" w:ascii="宋体" w:hAnsi="宋体" w:eastAsia="宋体" w:cs="宋体"/>
          <w:color w:val="000000"/>
          <w:sz w:val="24"/>
          <w:szCs w:val="24"/>
          <w:highlight w:val="none"/>
          <w:lang w:val="en-US" w:eastAsia="zh-CN"/>
        </w:rPr>
      </w:r>
      <w:r/>
    </w:p>
    <w:p>
      <w:pPr>
        <w:pStyle w:val="801"/>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承包人在工程竣工后，验收前提供壹份完整的竣工资料（原件</w:t>
      </w:r>
      <w:r>
        <w:rPr>
          <w:rFonts w:hint="eastAsia" w:ascii="宋体" w:hAnsi="宋体" w:eastAsia="宋体" w:cs="宋体"/>
          <w:color w:val="000000"/>
          <w:sz w:val="24"/>
          <w:szCs w:val="24"/>
          <w:highlight w:val="none"/>
          <w:lang w:val="en-US" w:eastAsia="zh-CN"/>
        </w:rPr>
        <w:t xml:space="preserve">和PDF</w:t>
      </w:r>
      <w:r>
        <w:rPr>
          <w:rFonts w:hint="eastAsia" w:ascii="宋体" w:hAnsi="宋体" w:eastAsia="宋体" w:cs="宋体"/>
          <w:color w:val="000000"/>
          <w:sz w:val="24"/>
          <w:szCs w:val="24"/>
          <w:highlight w:val="none"/>
        </w:rPr>
        <w:t xml:space="preserve">电子版</w:t>
      </w:r>
      <w:r>
        <w:rPr>
          <w:rFonts w:hint="eastAsia" w:ascii="宋体" w:hAnsi="宋体" w:eastAsia="宋体" w:cs="宋体"/>
          <w:color w:val="000000"/>
          <w:sz w:val="24"/>
          <w:szCs w:val="24"/>
          <w:highlight w:val="none"/>
          <w:lang w:val="en-US" w:eastAsia="zh-CN"/>
        </w:rPr>
        <w:t xml:space="preserve">及全过程节点工程、隐蔽工程等影像资料</w:t>
      </w:r>
      <w:r>
        <w:rPr>
          <w:rFonts w:hint="eastAsia" w:ascii="宋体" w:hAnsi="宋体" w:eastAsia="宋体" w:cs="宋体"/>
          <w:color w:val="000000"/>
          <w:sz w:val="24"/>
          <w:szCs w:val="24"/>
          <w:highlight w:val="none"/>
        </w:rPr>
        <w:t xml:space="preserve">），否则，按合同总价的2%罚款。 </w:t>
      </w:r>
      <w:r>
        <w:rPr>
          <w:rFonts w:hint="eastAsia" w:ascii="宋体" w:hAnsi="宋体" w:eastAsia="宋体" w:cs="宋体"/>
          <w:color w:val="000000"/>
          <w:sz w:val="24"/>
          <w:szCs w:val="24"/>
          <w:highlight w:val="none"/>
        </w:rPr>
      </w:r>
      <w:r/>
    </w:p>
    <w:p>
      <w:pPr>
        <w:pStyle w:val="801"/>
        <w:ind w:left="0" w:right="0" w:firstLine="480"/>
        <w:jc w:val="both"/>
        <w:keepLines w:val="0"/>
        <w:keepNext w:val="0"/>
        <w:pageBreakBefore w:val="0"/>
        <w:spacing w:line="36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竣工验收后，应至少编制竣工结算资料4份，发包人、承包人、审计单位、复审单位（如果有）各一份，因未能提供竣工结算资料导致竣工结算审计延误的责任由承包人承担，与发包人、招标人无关。</w:t>
      </w:r>
      <w:r>
        <w:rPr>
          <w:rFonts w:ascii="宋体" w:hAnsi="宋体" w:eastAsia="宋体" w:cs="宋体"/>
          <w:color w:val="000000"/>
          <w:sz w:val="24"/>
          <w:szCs w:val="24"/>
          <w:highlight w:val="none"/>
          <w:lang w:val="en-US" w:eastAsia="zh-CN"/>
        </w:rPr>
      </w:r>
      <w:r/>
    </w:p>
    <w:p>
      <w:pPr>
        <w:pStyle w:val="801"/>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4.1.10.24</w:t>
      </w:r>
      <w:r>
        <w:rPr>
          <w:rFonts w:hint="eastAsia" w:ascii="宋体" w:hAnsi="宋体" w:eastAsia="宋体" w:cs="宋体"/>
          <w:color w:val="000000"/>
          <w:sz w:val="24"/>
          <w:szCs w:val="24"/>
          <w:highlight w:val="none"/>
        </w:rPr>
        <w:t xml:space="preserve">关于劳动用工和农民工工资：</w:t>
      </w:r>
      <w:r>
        <w:rPr>
          <w:rFonts w:hint="eastAsia" w:ascii="宋体" w:hAnsi="宋体" w:eastAsia="宋体" w:cs="宋体"/>
          <w:color w:val="000000"/>
          <w:sz w:val="24"/>
          <w:szCs w:val="24"/>
          <w:highlight w:val="none"/>
        </w:rPr>
      </w:r>
      <w:r/>
    </w:p>
    <w:p>
      <w:pPr>
        <w:pStyle w:val="801"/>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⑴ 关于劳动用工管理</w:t>
      </w:r>
      <w:r>
        <w:rPr>
          <w:rFonts w:hint="eastAsia" w:ascii="宋体" w:hAnsi="宋体" w:eastAsia="宋体" w:cs="宋体"/>
          <w:color w:val="000000"/>
          <w:sz w:val="24"/>
          <w:szCs w:val="24"/>
          <w:highlight w:val="none"/>
        </w:rPr>
      </w:r>
      <w:r/>
    </w:p>
    <w:p>
      <w:pPr>
        <w:pStyle w:val="801"/>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①承包人（包括其分包人）应依法与所招用的农民工订立劳动合同并进行用工实名登记，通过相应的管理服务信息平台（如有）进行用工实名登记、管理。未与承包人（包括其分包人）订立劳动合同并进行用工实名登记的人员，不得进入项目现场施工。</w:t>
      </w:r>
      <w:r>
        <w:rPr>
          <w:rFonts w:hint="eastAsia" w:ascii="宋体" w:hAnsi="宋体" w:eastAsia="宋体" w:cs="宋体"/>
          <w:color w:val="000000"/>
          <w:sz w:val="24"/>
          <w:szCs w:val="24"/>
          <w:highlight w:val="none"/>
        </w:rPr>
      </w:r>
      <w:r/>
    </w:p>
    <w:p>
      <w:pPr>
        <w:pStyle w:val="801"/>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②承包人应在工程项目部配备劳资专管员，对分包人劳动用工实施监督管理，掌握施工现场用工、考勤、工资支付等情况，审核分包人编制的农民工工资支付表。</w:t>
      </w:r>
      <w:r>
        <w:rPr>
          <w:rFonts w:hint="eastAsia" w:ascii="宋体" w:hAnsi="宋体" w:eastAsia="宋体" w:cs="宋体"/>
          <w:color w:val="000000"/>
          <w:sz w:val="24"/>
          <w:szCs w:val="24"/>
          <w:highlight w:val="none"/>
        </w:rPr>
      </w:r>
      <w:r/>
    </w:p>
    <w:p>
      <w:pPr>
        <w:pStyle w:val="801"/>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③承包人（包括其分包人）应建立用工管理台账，并保存至工程完工且工资全部结清后至少3年。</w:t>
      </w:r>
      <w:r>
        <w:rPr>
          <w:rFonts w:hint="eastAsia" w:ascii="宋体" w:hAnsi="宋体" w:eastAsia="宋体" w:cs="宋体"/>
          <w:color w:val="000000"/>
          <w:sz w:val="24"/>
          <w:szCs w:val="24"/>
          <w:highlight w:val="none"/>
        </w:rPr>
      </w:r>
      <w:r/>
    </w:p>
    <w:p>
      <w:pPr>
        <w:pStyle w:val="801"/>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⑵ 关于农民工工资支付形式与周期</w:t>
      </w:r>
      <w:r>
        <w:rPr>
          <w:rFonts w:hint="eastAsia" w:ascii="宋体" w:hAnsi="宋体" w:eastAsia="宋体" w:cs="宋体"/>
          <w:color w:val="000000"/>
          <w:sz w:val="24"/>
          <w:szCs w:val="24"/>
          <w:highlight w:val="none"/>
        </w:rPr>
      </w:r>
      <w:r/>
    </w:p>
    <w:p>
      <w:pPr>
        <w:pStyle w:val="801"/>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①农民工工资应以货币形式，通过银行转账或者现金支付给农民工本人，不得以实物或者有价证券等其他形式替代。</w:t>
      </w:r>
      <w:r>
        <w:rPr>
          <w:rFonts w:hint="eastAsia" w:ascii="宋体" w:hAnsi="宋体" w:eastAsia="宋体" w:cs="宋体"/>
          <w:color w:val="000000"/>
          <w:sz w:val="24"/>
          <w:szCs w:val="24"/>
          <w:highlight w:val="none"/>
        </w:rPr>
      </w:r>
      <w:r/>
    </w:p>
    <w:p>
      <w:pPr>
        <w:pStyle w:val="801"/>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②承包人（包括其分包人）应按照与农民工订立的劳动合同中约定的工资支付周期和具体支付日期足额支付工资。</w:t>
      </w:r>
      <w:r>
        <w:rPr>
          <w:rFonts w:hint="eastAsia" w:ascii="宋体" w:hAnsi="宋体" w:eastAsia="宋体" w:cs="宋体"/>
          <w:color w:val="000000"/>
          <w:sz w:val="24"/>
          <w:szCs w:val="24"/>
          <w:highlight w:val="none"/>
        </w:rPr>
      </w:r>
      <w:r/>
    </w:p>
    <w:p>
      <w:pPr>
        <w:pStyle w:val="801"/>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⑶关于农民工工资专用账户管理</w:t>
      </w:r>
      <w:r>
        <w:rPr>
          <w:rFonts w:hint="eastAsia" w:ascii="宋体" w:hAnsi="宋体" w:eastAsia="宋体" w:cs="宋体"/>
          <w:color w:val="000000"/>
          <w:sz w:val="24"/>
          <w:szCs w:val="24"/>
          <w:highlight w:val="none"/>
        </w:rPr>
      </w:r>
      <w:r/>
    </w:p>
    <w:p>
      <w:pPr>
        <w:pStyle w:val="801"/>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①承包人应分解工程价款中的人工费用，在签订合同后三十天内在工程项目所在地银行开设农民工工资专用账户，专项用于支付本工程项目的农民工工资。</w:t>
      </w:r>
      <w:r>
        <w:rPr>
          <w:rFonts w:hint="eastAsia" w:ascii="宋体" w:hAnsi="宋体" w:eastAsia="宋体" w:cs="宋体"/>
          <w:color w:val="000000"/>
          <w:sz w:val="24"/>
          <w:szCs w:val="24"/>
          <w:highlight w:val="none"/>
          <w:lang w:val="en-US" w:eastAsia="zh-CN"/>
        </w:rPr>
        <w:t xml:space="preserve">承包人在申请第一次工程款支付之前需提供</w:t>
      </w:r>
      <w:r>
        <w:rPr>
          <w:rFonts w:hint="eastAsia" w:ascii="宋体" w:hAnsi="宋体" w:eastAsia="宋体" w:cs="宋体"/>
          <w:color w:val="000000"/>
          <w:sz w:val="24"/>
          <w:szCs w:val="24"/>
          <w:highlight w:val="none"/>
        </w:rPr>
        <w:t xml:space="preserve">农民工工资</w:t>
      </w:r>
      <w:r>
        <w:rPr>
          <w:rFonts w:hint="eastAsia" w:ascii="宋体" w:hAnsi="宋体" w:eastAsia="宋体" w:cs="宋体"/>
          <w:color w:val="000000"/>
          <w:sz w:val="24"/>
          <w:szCs w:val="24"/>
          <w:highlight w:val="none"/>
          <w:lang w:val="en-US" w:eastAsia="zh-CN"/>
        </w:rPr>
        <w:t xml:space="preserve">专用账户设立情况证明，此后在每一次申请付款之前，需提供农民工工资支付明细。</w:t>
      </w:r>
      <w:r>
        <w:rPr>
          <w:rFonts w:hint="eastAsia" w:ascii="宋体" w:hAnsi="宋体" w:eastAsia="宋体" w:cs="宋体"/>
          <w:color w:val="000000"/>
          <w:sz w:val="24"/>
          <w:szCs w:val="24"/>
          <w:highlight w:val="none"/>
        </w:rPr>
        <w:t xml:space="preserve">农民工工资专用账户应向人力资源社会保障部门和工程项目行业主管部门备案，并委托开户银行负责日常监管，确保专款专用。</w:t>
      </w:r>
      <w:r>
        <w:rPr>
          <w:rFonts w:hint="eastAsia" w:ascii="宋体" w:hAnsi="宋体" w:eastAsia="宋体" w:cs="宋体"/>
          <w:color w:val="000000"/>
          <w:sz w:val="24"/>
          <w:szCs w:val="24"/>
          <w:highlight w:val="none"/>
        </w:rPr>
      </w:r>
      <w:r/>
    </w:p>
    <w:p>
      <w:pPr>
        <w:pStyle w:val="801"/>
        <w:ind w:left="0" w:right="0" w:firstLine="482"/>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符合相关规定的可不开设农民工工资专用账户，但应依法落实实名制管理等规定，按月考核农民工工作量并编制工资支付表，由农民工本人签字确认后，通过银行转账等方式足额发放至农民工本人工资卡，并留存相关材料备查</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01"/>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②开设、使用农民工工资专用账户有关资料应由承包人妥善保存备查。</w:t>
      </w:r>
      <w:r>
        <w:rPr>
          <w:rFonts w:hint="eastAsia" w:ascii="宋体" w:hAnsi="宋体" w:eastAsia="宋体" w:cs="宋体"/>
          <w:color w:val="000000"/>
          <w:sz w:val="24"/>
          <w:szCs w:val="24"/>
          <w:highlight w:val="none"/>
        </w:rPr>
      </w:r>
      <w:r/>
    </w:p>
    <w:p>
      <w:pPr>
        <w:pStyle w:val="801"/>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⑷关于维权信息公示</w:t>
      </w:r>
      <w:r>
        <w:rPr>
          <w:rFonts w:hint="eastAsia" w:ascii="宋体" w:hAnsi="宋体" w:eastAsia="宋体" w:cs="宋体"/>
          <w:color w:val="000000"/>
          <w:sz w:val="24"/>
          <w:szCs w:val="24"/>
          <w:highlight w:val="none"/>
        </w:rPr>
      </w:r>
      <w:r/>
    </w:p>
    <w:p>
      <w:pPr>
        <w:pStyle w:val="801"/>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承包人应在施工现场醒目位置设立维权信息告示牌，明示下列事项：</w:t>
      </w:r>
      <w:r>
        <w:rPr>
          <w:rFonts w:hint="eastAsia" w:ascii="宋体" w:hAnsi="宋体" w:eastAsia="宋体" w:cs="宋体"/>
          <w:color w:val="000000"/>
          <w:sz w:val="24"/>
          <w:szCs w:val="24"/>
          <w:highlight w:val="none"/>
        </w:rPr>
      </w:r>
      <w:r/>
    </w:p>
    <w:p>
      <w:pPr>
        <w:pStyle w:val="801"/>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①发包人、承包人及所在项目部、分包人、工程建设主管部门、劳资专管员等基本信息；</w:t>
      </w:r>
      <w:r>
        <w:rPr>
          <w:rFonts w:hint="eastAsia" w:ascii="宋体" w:hAnsi="宋体" w:eastAsia="宋体" w:cs="宋体"/>
          <w:color w:val="000000"/>
          <w:sz w:val="24"/>
          <w:szCs w:val="24"/>
          <w:highlight w:val="none"/>
        </w:rPr>
      </w:r>
      <w:r/>
    </w:p>
    <w:p>
      <w:pPr>
        <w:pStyle w:val="801"/>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②当地最低工资标准、工资支付日期等基本信息；</w:t>
      </w:r>
      <w:r>
        <w:rPr>
          <w:rFonts w:hint="eastAsia" w:ascii="宋体" w:hAnsi="宋体" w:eastAsia="宋体" w:cs="宋体"/>
          <w:color w:val="000000"/>
          <w:sz w:val="24"/>
          <w:szCs w:val="24"/>
          <w:highlight w:val="none"/>
        </w:rPr>
      </w:r>
      <w:r/>
    </w:p>
    <w:p>
      <w:pPr>
        <w:pStyle w:val="801"/>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③工程建设主管部门和劳动保障监察投诉举报电话、劳动争议调解仲裁申请渠道、法律援助申请渠道、公共法律服务热线等信息。</w:t>
      </w:r>
      <w:r>
        <w:rPr>
          <w:rFonts w:hint="eastAsia" w:ascii="宋体" w:hAnsi="宋体" w:eastAsia="宋体" w:cs="宋体"/>
          <w:color w:val="000000"/>
          <w:sz w:val="24"/>
          <w:szCs w:val="24"/>
          <w:highlight w:val="none"/>
        </w:rPr>
      </w:r>
      <w:r/>
    </w:p>
    <w:p>
      <w:pPr>
        <w:pStyle w:val="801"/>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⑸承包人应按时足额存储农民工工资保证金或者提交银行保函，具体要求见《江苏省工程建设领域农民工工资保证金管理办法》（苏人社规〔2022〕4号印发）。</w:t>
      </w:r>
      <w:r>
        <w:rPr>
          <w:rFonts w:hint="eastAsia" w:ascii="宋体" w:hAnsi="宋体" w:eastAsia="宋体" w:cs="宋体"/>
          <w:color w:val="000000"/>
          <w:sz w:val="24"/>
          <w:szCs w:val="24"/>
          <w:highlight w:val="none"/>
        </w:rPr>
      </w:r>
      <w:r/>
    </w:p>
    <w:p>
      <w:pPr>
        <w:pStyle w:val="801"/>
        <w:ind w:left="0" w:right="0"/>
        <w:jc w:val="both"/>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4.2  履约保证金</w:t>
      </w:r>
      <w:r>
        <w:rPr>
          <w:rFonts w:hint="eastAsia" w:ascii="宋体" w:hAnsi="宋体" w:eastAsia="宋体" w:cs="宋体"/>
          <w:b/>
          <w:bCs/>
          <w:color w:val="000000"/>
          <w:sz w:val="24"/>
          <w:szCs w:val="24"/>
          <w:highlight w:val="none"/>
        </w:rPr>
      </w:r>
      <w:r/>
    </w:p>
    <w:p>
      <w:pPr>
        <w:pStyle w:val="801"/>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本款细化为：</w:t>
      </w:r>
      <w:r>
        <w:rPr>
          <w:rFonts w:hint="eastAsia" w:ascii="宋体" w:hAnsi="宋体" w:eastAsia="宋体" w:cs="宋体"/>
          <w:color w:val="000000"/>
          <w:sz w:val="24"/>
          <w:szCs w:val="24"/>
          <w:highlight w:val="none"/>
        </w:rPr>
      </w:r>
      <w:r/>
    </w:p>
    <w:p>
      <w:pPr>
        <w:pStyle w:val="801"/>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承包人应保证其履约保证金在发包人签发交（竣）工验收证书且承包人按照合同约定缴纳质量保证金前一直有效。发包人应在收到承包人缴纳的质量保证金后及时将履约保证金（无息）退还给承包人。</w:t>
      </w:r>
      <w:r>
        <w:rPr>
          <w:rFonts w:hint="eastAsia" w:ascii="宋体" w:hAnsi="宋体" w:eastAsia="宋体" w:cs="宋体"/>
          <w:color w:val="000000"/>
          <w:sz w:val="24"/>
          <w:szCs w:val="24"/>
          <w:highlight w:val="none"/>
        </w:rPr>
      </w:r>
      <w:r/>
    </w:p>
    <w:p>
      <w:pPr>
        <w:pStyle w:val="801"/>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承包人拒绝按照本合同约定缴纳质量保证金的，发包人有权从交工付款证书中扣留相应金额作为质量保证金，或者直接将履约保证金金额用于保证承包人在缺陷责任期内履行缺陷修复义务。</w:t>
      </w:r>
      <w:r>
        <w:rPr>
          <w:rFonts w:hint="eastAsia" w:ascii="宋体" w:hAnsi="宋体" w:eastAsia="宋体" w:cs="宋体"/>
          <w:color w:val="000000"/>
          <w:sz w:val="24"/>
          <w:szCs w:val="24"/>
          <w:highlight w:val="none"/>
        </w:rPr>
      </w:r>
      <w:r/>
    </w:p>
    <w:p>
      <w:pPr>
        <w:pStyle w:val="801"/>
        <w:ind w:left="0" w:right="0"/>
        <w:jc w:val="both"/>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4.3  分包</w:t>
      </w:r>
      <w:r>
        <w:rPr>
          <w:rFonts w:hint="eastAsia" w:ascii="宋体" w:hAnsi="宋体" w:eastAsia="宋体" w:cs="宋体"/>
          <w:b/>
          <w:bCs/>
          <w:color w:val="000000"/>
          <w:sz w:val="24"/>
          <w:szCs w:val="24"/>
          <w:highlight w:val="none"/>
        </w:rPr>
      </w:r>
      <w:r/>
    </w:p>
    <w:p>
      <w:pPr>
        <w:pStyle w:val="801"/>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本项目</w:t>
      </w:r>
      <w:r>
        <w:rPr>
          <w:rFonts w:hint="eastAsia" w:ascii="宋体" w:hAnsi="宋体" w:eastAsia="宋体" w:cs="宋体"/>
          <w:b/>
          <w:bCs/>
          <w:color w:val="000000"/>
          <w:sz w:val="24"/>
          <w:szCs w:val="24"/>
          <w:highlight w:val="none"/>
        </w:rPr>
        <w:t xml:space="preserve">不允许违法分包</w:t>
      </w:r>
      <w:r>
        <w:rPr>
          <w:rFonts w:hint="eastAsia" w:ascii="宋体" w:hAnsi="宋体" w:eastAsia="宋体" w:cs="宋体"/>
          <w:color w:val="000000"/>
          <w:sz w:val="24"/>
          <w:szCs w:val="24"/>
          <w:highlight w:val="none"/>
        </w:rPr>
        <w:t xml:space="preserve">，任何分包均应按照国家及江苏省有关分包管理的法律法规、行政规章执行。</w:t>
      </w:r>
      <w:r>
        <w:rPr>
          <w:rFonts w:hint="eastAsia" w:ascii="宋体" w:hAnsi="宋体" w:eastAsia="宋体" w:cs="宋体"/>
          <w:color w:val="000000"/>
          <w:sz w:val="24"/>
          <w:szCs w:val="24"/>
          <w:highlight w:val="none"/>
        </w:rPr>
      </w:r>
      <w:r/>
    </w:p>
    <w:p>
      <w:pPr>
        <w:pStyle w:val="801"/>
        <w:ind w:left="0" w:right="0"/>
        <w:jc w:val="both"/>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4.5  承包人的项目经理</w:t>
      </w:r>
      <w:r>
        <w:rPr>
          <w:rFonts w:hint="eastAsia" w:ascii="宋体" w:hAnsi="宋体" w:eastAsia="宋体" w:cs="宋体"/>
          <w:b/>
          <w:bCs/>
          <w:color w:val="000000"/>
          <w:sz w:val="24"/>
          <w:szCs w:val="24"/>
          <w:highlight w:val="none"/>
        </w:rPr>
      </w:r>
      <w:r/>
    </w:p>
    <w:p>
      <w:pPr>
        <w:pStyle w:val="801"/>
        <w:ind w:left="0" w:right="0" w:firstLine="480"/>
        <w:jc w:val="both"/>
        <w:keepLines w:val="0"/>
        <w:keepNext w:val="0"/>
        <w:pageBreakBefore w:val="0"/>
        <w:spacing w:line="36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增加以下条款：</w:t>
      </w:r>
      <w:r>
        <w:rPr>
          <w:rFonts w:ascii="宋体" w:hAnsi="宋体" w:eastAsia="宋体" w:cs="宋体"/>
          <w:color w:val="000000"/>
          <w:sz w:val="24"/>
          <w:szCs w:val="24"/>
          <w:highlight w:val="none"/>
          <w:lang w:val="en-US" w:eastAsia="zh-CN"/>
        </w:rPr>
      </w:r>
      <w:r/>
    </w:p>
    <w:p>
      <w:pPr>
        <w:pStyle w:val="801"/>
        <w:ind w:left="0" w:right="0" w:firstLine="482"/>
        <w:jc w:val="both"/>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4.5.5</w:t>
      </w:r>
      <w:r>
        <w:rPr>
          <w:rFonts w:hint="eastAsia" w:ascii="宋体" w:hAnsi="宋体" w:eastAsia="宋体" w:cs="宋体"/>
          <w:b/>
          <w:bCs/>
          <w:color w:val="000000"/>
          <w:sz w:val="24"/>
          <w:szCs w:val="24"/>
          <w:highlight w:val="none"/>
          <w:lang w:val="en-US" w:eastAsia="zh-CN"/>
        </w:rPr>
        <w:t xml:space="preserve">承包人</w:t>
      </w:r>
      <w:r>
        <w:rPr>
          <w:rFonts w:hint="eastAsia" w:ascii="宋体" w:hAnsi="宋体" w:eastAsia="宋体" w:cs="宋体"/>
          <w:b/>
          <w:bCs/>
          <w:color w:val="000000"/>
          <w:sz w:val="24"/>
          <w:szCs w:val="24"/>
          <w:highlight w:val="none"/>
        </w:rPr>
        <w:t xml:space="preserve">在投标文件中承诺的拟投入本工程的项目经理、</w:t>
      </w:r>
      <w:r>
        <w:rPr>
          <w:rFonts w:hint="eastAsia" w:ascii="宋体" w:hAnsi="宋体" w:eastAsia="宋体" w:cs="宋体"/>
          <w:b/>
          <w:bCs/>
          <w:color w:val="000000"/>
          <w:sz w:val="24"/>
          <w:szCs w:val="24"/>
          <w:highlight w:val="none"/>
          <w:lang w:val="en-US" w:eastAsia="zh-CN"/>
        </w:rPr>
        <w:t xml:space="preserve">项目总工（</w:t>
      </w:r>
      <w:r>
        <w:rPr>
          <w:rFonts w:hint="eastAsia" w:ascii="宋体" w:hAnsi="宋体" w:eastAsia="宋体" w:cs="宋体"/>
          <w:b/>
          <w:bCs/>
          <w:color w:val="000000"/>
          <w:sz w:val="24"/>
          <w:szCs w:val="24"/>
          <w:highlight w:val="none"/>
        </w:rPr>
        <w:t xml:space="preserve">技术负责人</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目前应没有参加其他在建工程，或必须有目前在建工程的发包人书面撤离证明</w:t>
      </w:r>
      <w:r>
        <w:rPr>
          <w:rFonts w:hint="eastAsia" w:ascii="宋体" w:hAnsi="宋体" w:eastAsia="宋体" w:cs="宋体"/>
          <w:bCs/>
          <w:color w:val="000000"/>
          <w:sz w:val="24"/>
          <w:szCs w:val="24"/>
          <w:highlight w:val="none"/>
        </w:rPr>
        <w:t xml:space="preserve">，以证明一旦投标人中标，该上述人员能立即撤出目前的在建工程，并能确保在发包人规定的时间进场，开展本工程。发包人将对项目经理、</w:t>
      </w:r>
      <w:r>
        <w:rPr>
          <w:rFonts w:hint="eastAsia" w:ascii="宋体" w:hAnsi="宋体" w:eastAsia="宋体" w:cs="宋体"/>
          <w:bCs/>
          <w:color w:val="000000"/>
          <w:sz w:val="24"/>
          <w:szCs w:val="24"/>
          <w:highlight w:val="none"/>
          <w:lang w:val="en-US" w:eastAsia="zh-CN"/>
        </w:rPr>
        <w:t xml:space="preserve">项目总工（</w:t>
      </w:r>
      <w:r>
        <w:rPr>
          <w:rFonts w:hint="eastAsia" w:ascii="宋体" w:hAnsi="宋体" w:eastAsia="宋体" w:cs="宋体"/>
          <w:bCs/>
          <w:color w:val="000000"/>
          <w:sz w:val="24"/>
          <w:szCs w:val="24"/>
          <w:highlight w:val="none"/>
        </w:rPr>
        <w:t xml:space="preserve">技术负责人</w:t>
      </w:r>
      <w:r>
        <w:rPr>
          <w:rFonts w:hint="eastAsia" w:ascii="宋体" w:hAnsi="宋体" w:eastAsia="宋体" w:cs="宋体"/>
          <w:bCs/>
          <w:color w:val="000000"/>
          <w:sz w:val="24"/>
          <w:szCs w:val="24"/>
          <w:highlight w:val="none"/>
          <w:lang w:val="en-US" w:eastAsia="zh-CN"/>
        </w:rPr>
        <w:t xml:space="preserve">）</w:t>
      </w:r>
      <w:r>
        <w:rPr>
          <w:rFonts w:hint="eastAsia" w:ascii="宋体" w:hAnsi="宋体" w:eastAsia="宋体" w:cs="宋体"/>
          <w:bCs/>
          <w:color w:val="000000"/>
          <w:sz w:val="24"/>
          <w:szCs w:val="24"/>
          <w:highlight w:val="none"/>
        </w:rPr>
        <w:t xml:space="preserve">实行考勤制度，必须保证每月至少有22天在施工现场。</w:t>
      </w:r>
      <w:r>
        <w:rPr>
          <w:rFonts w:hint="eastAsia" w:ascii="宋体" w:hAnsi="宋体" w:eastAsia="宋体" w:cs="宋体"/>
          <w:bCs/>
          <w:color w:val="000000"/>
          <w:sz w:val="24"/>
          <w:szCs w:val="24"/>
          <w:highlight w:val="none"/>
        </w:rPr>
      </w:r>
      <w:r/>
    </w:p>
    <w:p>
      <w:pPr>
        <w:pStyle w:val="801"/>
        <w:ind w:left="0" w:right="0" w:firstLine="480"/>
        <w:jc w:val="both"/>
        <w:keepLines w:val="0"/>
        <w:keepNext w:val="0"/>
        <w:pageBreakBefore w:val="0"/>
        <w:spacing w:line="360"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4.5.6项目经理、项目总工（技术负责人）未经批准，擅自离开施工现场的违约责任：发包人代表随时检查项目经理、项目总工（技术负责人）的出勤情况，发现一次、每次超过24小时的由承包人支付1000元/天的违约金；一个月内发现三次或累计达72小时的，发包人有权单方解除合同或要求承包人更换项目经理，由此造成的一切损失由承包人承担。</w:t>
      </w:r>
      <w:r>
        <w:rPr>
          <w:rFonts w:ascii="宋体" w:hAnsi="宋体" w:eastAsia="宋体" w:cs="宋体"/>
          <w:bCs/>
          <w:color w:val="000000"/>
          <w:sz w:val="24"/>
          <w:szCs w:val="24"/>
          <w:highlight w:val="none"/>
          <w:lang w:val="en-US" w:eastAsia="zh-CN"/>
        </w:rPr>
      </w:r>
      <w:r/>
    </w:p>
    <w:p>
      <w:pPr>
        <w:pStyle w:val="801"/>
        <w:ind w:left="0" w:right="0"/>
        <w:jc w:val="both"/>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4.5.7未事先征得发包人同意，承包人不得擅自更换项目经理、项目总工（技术负责人），但发包人有权根据工程实施情况要求承包人更换项目经理、项目总工（技术负责人），对此，承包人不得拒绝。未事先征得发包人同意，承包人擅自更换项目经理、项目总工（技术负责人）必须交纳每人次20万元人民币（现金）的违约金，更换其他主要人员（安全员等）必须交纳每人次5万元人民币（现金）的违约金。</w:t>
      </w:r>
      <w:r>
        <w:rPr>
          <w:rFonts w:hint="eastAsia" w:ascii="宋体" w:hAnsi="宋体" w:eastAsia="宋体" w:cs="宋体"/>
          <w:bCs/>
          <w:color w:val="000000"/>
          <w:sz w:val="24"/>
          <w:szCs w:val="24"/>
          <w:highlight w:val="none"/>
          <w:lang w:val="en-US" w:eastAsia="zh-CN"/>
        </w:rPr>
      </w:r>
      <w:r/>
    </w:p>
    <w:p>
      <w:pPr>
        <w:pStyle w:val="801"/>
        <w:ind w:left="0" w:right="0"/>
        <w:jc w:val="both"/>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4.6  承包人人员的管理</w:t>
      </w:r>
      <w:r>
        <w:rPr>
          <w:rFonts w:hint="eastAsia" w:ascii="宋体" w:hAnsi="宋体" w:eastAsia="宋体" w:cs="宋体"/>
          <w:b/>
          <w:bCs/>
          <w:color w:val="000000"/>
          <w:sz w:val="24"/>
          <w:szCs w:val="24"/>
          <w:highlight w:val="none"/>
        </w:rPr>
      </w:r>
      <w:r/>
    </w:p>
    <w:p>
      <w:pPr>
        <w:pStyle w:val="801"/>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4.6.3</w:t>
      </w:r>
      <w:r>
        <w:rPr>
          <w:rFonts w:hint="eastAsia" w:ascii="宋体" w:hAnsi="宋体" w:eastAsia="宋体" w:cs="宋体"/>
          <w:color w:val="000000"/>
          <w:sz w:val="24"/>
          <w:szCs w:val="24"/>
          <w:highlight w:val="none"/>
          <w:lang w:val="en-US" w:eastAsia="zh-CN"/>
        </w:rPr>
        <w:t xml:space="preserve">增加补充</w:t>
      </w:r>
      <w:r>
        <w:rPr>
          <w:rFonts w:hint="eastAsia" w:ascii="宋体" w:hAnsi="宋体" w:eastAsia="宋体" w:cs="宋体"/>
          <w:color w:val="000000"/>
          <w:sz w:val="24"/>
          <w:szCs w:val="24"/>
          <w:highlight w:val="none"/>
        </w:rPr>
        <w:t xml:space="preserve">：承包人在合同谈判时，除项目经理、</w:t>
      </w:r>
      <w:r>
        <w:rPr>
          <w:rFonts w:hint="eastAsia" w:ascii="宋体" w:hAnsi="宋体" w:eastAsia="宋体" w:cs="宋体"/>
          <w:bCs/>
          <w:color w:val="000000"/>
          <w:sz w:val="24"/>
          <w:szCs w:val="24"/>
          <w:highlight w:val="none"/>
          <w:lang w:val="en-US" w:eastAsia="zh-CN"/>
        </w:rPr>
        <w:t xml:space="preserve">项目总工（</w:t>
      </w:r>
      <w:r>
        <w:rPr>
          <w:rFonts w:hint="eastAsia" w:ascii="宋体" w:hAnsi="宋体" w:eastAsia="宋体" w:cs="宋体"/>
          <w:color w:val="000000"/>
          <w:sz w:val="24"/>
          <w:szCs w:val="24"/>
          <w:highlight w:val="none"/>
        </w:rPr>
        <w:t xml:space="preserve">技术负责人</w:t>
      </w:r>
      <w:r>
        <w:rPr>
          <w:rFonts w:hint="eastAsia" w:ascii="宋体" w:hAnsi="宋体" w:eastAsia="宋体" w:cs="宋体"/>
          <w:bCs/>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及专职安全员以外，除项目经理、项目总工（技术负责人）及专职安全员以外，仍需按照现行工程施工管理相关文件规定配备足额的管理人员</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且不得随意更换。</w:t>
      </w:r>
      <w:r>
        <w:rPr>
          <w:rFonts w:hint="eastAsia" w:ascii="宋体" w:hAnsi="宋体" w:eastAsia="宋体" w:cs="宋体"/>
          <w:color w:val="000000"/>
          <w:sz w:val="24"/>
          <w:szCs w:val="24"/>
          <w:highlight w:val="none"/>
        </w:rPr>
      </w:r>
      <w:r/>
    </w:p>
    <w:p>
      <w:pPr>
        <w:pStyle w:val="801"/>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4,6.4增加以下条款：</w:t>
      </w:r>
      <w:r>
        <w:rPr>
          <w:rFonts w:hint="eastAsia" w:ascii="宋体" w:hAnsi="宋体" w:eastAsia="宋体" w:cs="宋体"/>
          <w:color w:val="000000"/>
          <w:sz w:val="24"/>
          <w:szCs w:val="24"/>
          <w:highlight w:val="none"/>
          <w:lang w:val="en-US" w:eastAsia="zh-CN"/>
        </w:rPr>
      </w:r>
      <w:r/>
    </w:p>
    <w:p>
      <w:pPr>
        <w:pStyle w:val="801"/>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4.6.4.</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 承包人的项目经理目前应没有参加其它在建工程，并能确保在发包人规定的时间内进场，开展本工程。中标后，在整个工程实施过程中，承包人成立项目经理部，派出投标文件中承诺的项目经理。</w:t>
      </w:r>
      <w:r>
        <w:rPr>
          <w:rFonts w:hint="eastAsia" w:ascii="宋体" w:hAnsi="宋体" w:eastAsia="宋体" w:cs="宋体"/>
          <w:color w:val="000000"/>
          <w:sz w:val="24"/>
          <w:szCs w:val="24"/>
          <w:highlight w:val="none"/>
        </w:rPr>
      </w:r>
      <w:r/>
    </w:p>
    <w:p>
      <w:pPr>
        <w:pStyle w:val="801"/>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4.6.4.</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 承包人在签署了合同协议书之日后，投标文件所列的承包人人员必须在监理人指定的日期进场，以保证项目管理机构的有效运转。</w:t>
      </w:r>
      <w:r>
        <w:rPr>
          <w:rFonts w:hint="eastAsia" w:ascii="宋体" w:hAnsi="宋体" w:eastAsia="宋体" w:cs="宋体"/>
          <w:color w:val="000000"/>
          <w:sz w:val="24"/>
          <w:szCs w:val="24"/>
          <w:highlight w:val="none"/>
        </w:rPr>
      </w:r>
      <w:r/>
    </w:p>
    <w:p>
      <w:pPr>
        <w:pStyle w:val="801"/>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4.6.4.</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 未经监理人批准，上述承包人人员不应无故不到位或被替换，若确定无法到位或需替换，需经监理人审核并报发包人批准，撤换后人员的水平不得低于原有的水平。</w:t>
      </w:r>
      <w:r>
        <w:rPr>
          <w:rFonts w:hint="eastAsia" w:ascii="宋体" w:hAnsi="宋体" w:eastAsia="宋体" w:cs="宋体"/>
          <w:color w:val="000000"/>
          <w:sz w:val="24"/>
          <w:szCs w:val="24"/>
          <w:highlight w:val="none"/>
        </w:rPr>
      </w:r>
      <w:r/>
    </w:p>
    <w:p>
      <w:pPr>
        <w:pStyle w:val="801"/>
        <w:ind w:left="0" w:right="0"/>
        <w:jc w:val="both"/>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rPr>
        <w:t xml:space="preserve">4.</w:t>
      </w:r>
      <w:r>
        <w:rPr>
          <w:rFonts w:hint="eastAsia" w:ascii="宋体" w:hAnsi="宋体" w:eastAsia="宋体" w:cs="宋体"/>
          <w:b/>
          <w:bCs/>
          <w:color w:val="000000"/>
          <w:sz w:val="24"/>
          <w:szCs w:val="24"/>
          <w:highlight w:val="none"/>
          <w:lang w:val="en-US" w:eastAsia="zh-CN"/>
        </w:rPr>
        <w:t xml:space="preserve">9</w:t>
      </w:r>
      <w:r>
        <w:rPr>
          <w:rFonts w:hint="eastAsia" w:ascii="宋体" w:hAnsi="宋体" w:eastAsia="宋体" w:cs="宋体"/>
          <w:b/>
          <w:bCs/>
          <w:color w:val="000000"/>
          <w:sz w:val="24"/>
          <w:szCs w:val="24"/>
          <w:highlight w:val="none"/>
        </w:rPr>
        <w:t xml:space="preserve">  工程价款应专款专用</w:t>
      </w:r>
      <w:r>
        <w:rPr>
          <w:rFonts w:hint="eastAsia" w:ascii="宋体" w:hAnsi="宋体" w:eastAsia="宋体" w:cs="宋体"/>
          <w:b/>
          <w:bCs/>
          <w:color w:val="000000"/>
          <w:sz w:val="24"/>
          <w:szCs w:val="24"/>
          <w:highlight w:val="none"/>
          <w:lang w:val="en-US" w:eastAsia="zh-CN"/>
        </w:rPr>
      </w:r>
      <w:r/>
    </w:p>
    <w:p>
      <w:pPr>
        <w:pStyle w:val="801"/>
        <w:ind w:left="0" w:right="0" w:firstLine="480"/>
        <w:jc w:val="both"/>
        <w:keepLines w:val="0"/>
        <w:keepNext w:val="0"/>
        <w:pageBreakBefore w:val="0"/>
        <w:spacing w:line="36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增加以下条款：</w:t>
      </w:r>
      <w:r>
        <w:rPr>
          <w:rFonts w:ascii="宋体" w:hAnsi="宋体" w:eastAsia="宋体" w:cs="宋体"/>
          <w:color w:val="000000"/>
          <w:sz w:val="24"/>
          <w:szCs w:val="24"/>
          <w:highlight w:val="none"/>
          <w:lang w:val="en-US" w:eastAsia="zh-CN"/>
        </w:rPr>
      </w:r>
      <w:r/>
    </w:p>
    <w:p>
      <w:pPr>
        <w:pStyle w:val="801"/>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.1 为本工程设立的安全、环保、文明施工措施费，必须专款专用，承包人不得挪作他用。</w:t>
      </w:r>
      <w:r>
        <w:rPr>
          <w:rFonts w:hint="eastAsia" w:ascii="宋体" w:hAnsi="宋体" w:eastAsia="宋体" w:cs="宋体"/>
          <w:color w:val="000000"/>
          <w:sz w:val="24"/>
          <w:szCs w:val="24"/>
          <w:highlight w:val="none"/>
        </w:rPr>
      </w:r>
      <w:r/>
    </w:p>
    <w:p>
      <w:pPr>
        <w:pStyle w:val="801"/>
        <w:ind w:left="0" w:right="0"/>
        <w:jc w:val="both"/>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4.</w:t>
      </w:r>
      <w:r>
        <w:rPr>
          <w:rFonts w:hint="eastAsia" w:ascii="宋体" w:hAnsi="宋体" w:eastAsia="宋体" w:cs="宋体"/>
          <w:b/>
          <w:bCs/>
          <w:color w:val="000000"/>
          <w:sz w:val="24"/>
          <w:szCs w:val="24"/>
          <w:highlight w:val="none"/>
          <w:lang w:val="en-US" w:eastAsia="zh-CN"/>
        </w:rPr>
        <w:t xml:space="preserve">1</w:t>
      </w:r>
      <w:r>
        <w:rPr>
          <w:rFonts w:hint="eastAsia" w:ascii="宋体" w:hAnsi="宋体" w:eastAsia="宋体" w:cs="宋体"/>
          <w:b/>
          <w:bCs/>
          <w:color w:val="000000"/>
          <w:sz w:val="24"/>
          <w:szCs w:val="24"/>
          <w:highlight w:val="none"/>
          <w:lang w:val="en-US" w:eastAsia="zh-CN"/>
        </w:rPr>
        <w:t xml:space="preserve">1</w:t>
      </w:r>
      <w:r>
        <w:rPr>
          <w:rFonts w:hint="eastAsia" w:ascii="宋体" w:hAnsi="宋体" w:eastAsia="宋体" w:cs="宋体"/>
          <w:b/>
          <w:bCs/>
          <w:color w:val="000000"/>
          <w:sz w:val="24"/>
          <w:szCs w:val="24"/>
          <w:highlight w:val="none"/>
        </w:rPr>
        <w:t xml:space="preserve"> 不利物质条件</w:t>
      </w:r>
      <w:r>
        <w:rPr>
          <w:rFonts w:hint="eastAsia" w:ascii="宋体" w:hAnsi="宋体" w:eastAsia="宋体" w:cs="宋体"/>
          <w:b/>
          <w:bCs/>
          <w:color w:val="000000"/>
          <w:sz w:val="24"/>
          <w:szCs w:val="24"/>
          <w:highlight w:val="none"/>
        </w:rPr>
      </w:r>
      <w:r/>
    </w:p>
    <w:p>
      <w:pPr>
        <w:pStyle w:val="801"/>
        <w:ind w:left="0" w:right="0" w:firstLine="480"/>
        <w:jc w:val="both"/>
        <w:keepLines w:val="0"/>
        <w:keepNext w:val="0"/>
        <w:pageBreakBefore w:val="0"/>
        <w:spacing w:line="36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增加以下条款：</w:t>
      </w:r>
      <w:r>
        <w:rPr>
          <w:rFonts w:ascii="宋体" w:hAnsi="宋体" w:eastAsia="宋体" w:cs="宋体"/>
          <w:color w:val="000000"/>
          <w:sz w:val="24"/>
          <w:szCs w:val="24"/>
          <w:highlight w:val="none"/>
          <w:lang w:val="en-US" w:eastAsia="zh-CN"/>
        </w:rPr>
      </w:r>
      <w:r/>
    </w:p>
    <w:p>
      <w:pPr>
        <w:pStyle w:val="801"/>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lang w:val="en-US" w:eastAsia="zh-CN"/>
        </w:rPr>
        <w:t xml:space="preserve">11</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承包人遇到不可预见的不利物质条件时，应采取适应不利物质条件的合理措施继续施工，并及时通知监理人，合同价格及工期不予调整。</w:t>
      </w:r>
      <w:r>
        <w:rPr>
          <w:rFonts w:hint="eastAsia" w:ascii="宋体" w:hAnsi="宋体" w:eastAsia="宋体" w:cs="宋体"/>
          <w:color w:val="000000"/>
          <w:sz w:val="24"/>
          <w:szCs w:val="24"/>
          <w:highlight w:val="none"/>
        </w:rPr>
      </w:r>
      <w:r/>
    </w:p>
    <w:p>
      <w:pPr>
        <w:pStyle w:val="801"/>
        <w:ind w:left="0" w:right="0" w:firstLine="480"/>
        <w:jc w:val="both"/>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lang w:val="en-US" w:eastAsia="zh-CN"/>
        </w:rPr>
        <w:t xml:space="preserve">11</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b/>
          <w:bCs/>
          <w:color w:val="000000"/>
          <w:sz w:val="24"/>
          <w:szCs w:val="24"/>
          <w:highlight w:val="none"/>
        </w:rPr>
        <w:t xml:space="preserve">可预见的不利物质条件</w:t>
      </w:r>
      <w:r>
        <w:rPr>
          <w:rFonts w:hint="eastAsia" w:ascii="宋体" w:hAnsi="宋体" w:eastAsia="宋体" w:cs="宋体"/>
          <w:b/>
          <w:bCs/>
          <w:color w:val="000000"/>
          <w:sz w:val="24"/>
          <w:szCs w:val="24"/>
          <w:highlight w:val="none"/>
        </w:rPr>
      </w:r>
      <w:r/>
    </w:p>
    <w:p>
      <w:pPr>
        <w:pStyle w:val="801"/>
        <w:ind w:left="0" w:right="0" w:firstLine="480"/>
        <w:jc w:val="both"/>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(1)对于合同中已经明确指出的不利物质条件无论承包人是否有其经历和经验均视为承包人在接受合同时已预见其影响，并已在签约合同价中计入其影响而可能发生的一切费用。</w:t>
      </w:r>
      <w:r>
        <w:rPr>
          <w:rFonts w:hint="eastAsia" w:ascii="宋体" w:hAnsi="宋体" w:eastAsia="宋体" w:cs="宋体"/>
          <w:bCs/>
          <w:color w:val="000000"/>
          <w:sz w:val="24"/>
          <w:szCs w:val="24"/>
          <w:highlight w:val="none"/>
        </w:rPr>
      </w:r>
      <w:r/>
    </w:p>
    <w:p>
      <w:pPr>
        <w:pStyle w:val="801"/>
        <w:ind w:left="0" w:right="0" w:firstLine="480"/>
        <w:jc w:val="both"/>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(2)对于合同未明确指出，但是在不利物质条件发生之前，监理人已经指示承包人有可能发生，但承包人未能及时采取有效措施，而导致的损失和后果均由承包人承担。</w:t>
      </w:r>
      <w:r>
        <w:rPr>
          <w:rFonts w:hint="eastAsia" w:ascii="宋体" w:hAnsi="宋体" w:eastAsia="宋体" w:cs="宋体"/>
          <w:bCs/>
          <w:color w:val="000000"/>
          <w:sz w:val="24"/>
          <w:szCs w:val="24"/>
          <w:highlight w:val="none"/>
        </w:rPr>
      </w:r>
      <w:r/>
    </w:p>
    <w:p>
      <w:pPr>
        <w:pStyle w:val="801"/>
        <w:ind w:left="0" w:right="0" w:firstLine="480"/>
        <w:jc w:val="both"/>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(3)对于在没有监理人具体指令情况下，承包人已经及时采取了合理而恰当的措施，并事后为监理人接受，监理人应报发包人同意后适当考虑承包人因此增加的费用或工期。</w:t>
      </w:r>
      <w:r>
        <w:rPr>
          <w:rFonts w:hint="eastAsia" w:ascii="宋体" w:hAnsi="宋体" w:eastAsia="宋体" w:cs="宋体"/>
          <w:bCs/>
          <w:color w:val="000000"/>
          <w:sz w:val="24"/>
          <w:szCs w:val="24"/>
          <w:highlight w:val="none"/>
        </w:rPr>
      </w:r>
      <w:r/>
    </w:p>
    <w:p>
      <w:pPr>
        <w:pStyle w:val="801"/>
        <w:ind w:left="0" w:right="0"/>
        <w:jc w:val="both"/>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5 材料和工程设备</w:t>
      </w:r>
      <w:r>
        <w:rPr>
          <w:rFonts w:hint="eastAsia" w:ascii="宋体" w:hAnsi="宋体" w:eastAsia="宋体" w:cs="宋体"/>
          <w:b/>
          <w:bCs/>
          <w:color w:val="000000"/>
          <w:sz w:val="24"/>
          <w:szCs w:val="24"/>
          <w:highlight w:val="none"/>
        </w:rPr>
      </w:r>
      <w:r/>
    </w:p>
    <w:p>
      <w:pPr>
        <w:pStyle w:val="801"/>
        <w:ind w:left="0" w:right="0"/>
        <w:jc w:val="both"/>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5.1  承包人提供的材料和工程设备</w:t>
      </w:r>
      <w:r>
        <w:rPr>
          <w:rFonts w:hint="eastAsia" w:ascii="宋体" w:hAnsi="宋体" w:eastAsia="宋体" w:cs="宋体"/>
          <w:b/>
          <w:bCs/>
          <w:color w:val="000000"/>
          <w:sz w:val="24"/>
          <w:szCs w:val="24"/>
          <w:highlight w:val="none"/>
        </w:rPr>
      </w:r>
      <w:r/>
    </w:p>
    <w:p>
      <w:pPr>
        <w:pStyle w:val="801"/>
        <w:ind w:left="0" w:right="0" w:firstLine="480"/>
        <w:jc w:val="both"/>
        <w:keepLines w:val="0"/>
        <w:keepNext w:val="0"/>
        <w:pageBreakBefore w:val="0"/>
        <w:spacing w:line="36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增加以下条款：</w:t>
      </w:r>
      <w:r>
        <w:rPr>
          <w:rFonts w:ascii="宋体" w:hAnsi="宋体" w:eastAsia="宋体" w:cs="宋体"/>
          <w:color w:val="000000"/>
          <w:sz w:val="24"/>
          <w:szCs w:val="24"/>
          <w:highlight w:val="none"/>
          <w:lang w:val="en-US" w:eastAsia="zh-CN"/>
        </w:rPr>
      </w:r>
      <w:r/>
    </w:p>
    <w:p>
      <w:pPr>
        <w:pStyle w:val="801"/>
        <w:ind w:left="0" w:right="0" w:firstLine="480"/>
        <w:jc w:val="both"/>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5.1.4 本工程的所有材料均由承包人自行采购。发包人为加强对工程质量的控制，将制定有关的材料管理办法，对用于本工程的大宗及主要材料，从材料供应的源头进行核准。发包人和监理人对上述材料的质量还将进行检查或抽查。</w:t>
      </w:r>
      <w:r>
        <w:rPr>
          <w:rFonts w:hint="eastAsia" w:ascii="宋体" w:hAnsi="宋体" w:eastAsia="宋体" w:cs="宋体"/>
          <w:bCs/>
          <w:color w:val="000000"/>
          <w:sz w:val="24"/>
          <w:szCs w:val="24"/>
          <w:highlight w:val="none"/>
        </w:rPr>
      </w:r>
      <w:r/>
    </w:p>
    <w:p>
      <w:pPr>
        <w:pStyle w:val="801"/>
        <w:ind w:left="0" w:right="0"/>
        <w:jc w:val="both"/>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5.2  发包人提供的材料和工程设备</w:t>
      </w:r>
      <w:r>
        <w:rPr>
          <w:rFonts w:hint="eastAsia" w:ascii="宋体" w:hAnsi="宋体" w:eastAsia="宋体" w:cs="宋体"/>
          <w:b/>
          <w:bCs/>
          <w:color w:val="000000"/>
          <w:sz w:val="24"/>
          <w:szCs w:val="24"/>
          <w:highlight w:val="none"/>
        </w:rPr>
      </w:r>
      <w:r/>
    </w:p>
    <w:p>
      <w:pPr>
        <w:pStyle w:val="801"/>
        <w:ind w:left="0" w:right="0" w:firstLine="480"/>
        <w:jc w:val="both"/>
        <w:keepLines w:val="0"/>
        <w:keepNext w:val="0"/>
        <w:pageBreakBefore w:val="0"/>
        <w:spacing w:line="360" w:lineRule="auto"/>
        <w:widowControl w:val="off"/>
        <w:rPr>
          <w:rFonts w:hint="eastAsia" w:ascii="宋体" w:hAnsi="宋体" w:eastAsia="宋体" w:cs="宋体"/>
          <w:b/>
          <w:color w:val="000000"/>
          <w:sz w:val="24"/>
          <w:szCs w:val="24"/>
          <w:highlight w:val="none"/>
          <w:u w:val="single"/>
        </w:rPr>
      </w:pPr>
      <w:r>
        <w:rPr>
          <w:rFonts w:hint="eastAsia" w:ascii="宋体" w:hAnsi="宋体" w:eastAsia="宋体" w:cs="宋体"/>
          <w:color w:val="000000"/>
          <w:sz w:val="24"/>
          <w:szCs w:val="24"/>
          <w:highlight w:val="none"/>
        </w:rPr>
        <w:t xml:space="preserve">5.2.1 发包人提供的材料和工程设备：</w:t>
      </w:r>
      <w:r>
        <w:rPr>
          <w:rFonts w:hint="eastAsia" w:ascii="宋体" w:hAnsi="宋体" w:eastAsia="宋体" w:cs="宋体"/>
          <w:b/>
          <w:color w:val="000000"/>
          <w:sz w:val="24"/>
          <w:szCs w:val="24"/>
          <w:highlight w:val="none"/>
          <w:u w:val="single"/>
        </w:rPr>
        <w:t xml:space="preserve">无。</w:t>
      </w:r>
      <w:r>
        <w:rPr>
          <w:rFonts w:hint="eastAsia" w:ascii="宋体" w:hAnsi="宋体" w:eastAsia="宋体" w:cs="宋体"/>
          <w:b/>
          <w:color w:val="000000"/>
          <w:sz w:val="24"/>
          <w:szCs w:val="24"/>
          <w:highlight w:val="none"/>
          <w:u w:val="single"/>
        </w:rPr>
      </w:r>
      <w:r/>
    </w:p>
    <w:p>
      <w:pPr>
        <w:pStyle w:val="801"/>
        <w:ind w:left="0" w:right="0"/>
        <w:jc w:val="both"/>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5.3 材料和工程设备专用于合同工程</w:t>
      </w:r>
      <w:r>
        <w:rPr>
          <w:rFonts w:hint="eastAsia" w:ascii="宋体" w:hAnsi="宋体" w:eastAsia="宋体" w:cs="宋体"/>
          <w:b/>
          <w:bCs/>
          <w:color w:val="000000"/>
          <w:sz w:val="24"/>
          <w:szCs w:val="24"/>
          <w:highlight w:val="none"/>
        </w:rPr>
      </w:r>
      <w:r/>
    </w:p>
    <w:p>
      <w:pPr>
        <w:pStyle w:val="801"/>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5.3.1</w:t>
      </w:r>
      <w:r>
        <w:rPr>
          <w:rFonts w:hint="eastAsia" w:ascii="宋体" w:hAnsi="宋体" w:eastAsia="宋体" w:cs="宋体"/>
          <w:color w:val="000000"/>
          <w:sz w:val="24"/>
          <w:szCs w:val="24"/>
          <w:highlight w:val="none"/>
          <w:lang w:val="en-US" w:eastAsia="zh-CN"/>
        </w:rPr>
        <w:t xml:space="preserve">条款最后</w:t>
      </w:r>
      <w:r>
        <w:rPr>
          <w:rFonts w:hint="eastAsia" w:ascii="宋体" w:hAnsi="宋体" w:eastAsia="宋体" w:cs="宋体"/>
          <w:color w:val="000000"/>
          <w:sz w:val="24"/>
          <w:szCs w:val="24"/>
          <w:highlight w:val="none"/>
        </w:rPr>
        <w:t xml:space="preserve">补充</w:t>
      </w:r>
      <w:r>
        <w:rPr>
          <w:rFonts w:hint="eastAsia" w:ascii="宋体" w:hAnsi="宋体" w:eastAsia="宋体" w:cs="宋体"/>
          <w:color w:val="000000"/>
          <w:sz w:val="24"/>
          <w:szCs w:val="24"/>
          <w:highlight w:val="none"/>
          <w:lang w:val="en-US" w:eastAsia="zh-CN"/>
        </w:rPr>
        <w:t xml:space="preserve">增加</w:t>
      </w:r>
      <w:r>
        <w:rPr>
          <w:rFonts w:hint="eastAsia" w:ascii="宋体" w:hAnsi="宋体" w:eastAsia="宋体" w:cs="宋体"/>
          <w:color w:val="000000"/>
          <w:sz w:val="24"/>
          <w:szCs w:val="24"/>
          <w:highlight w:val="none"/>
        </w:rPr>
        <w:t xml:space="preserve">：否则将按第22.1款视为承包人违约。</w:t>
      </w:r>
      <w:r>
        <w:rPr>
          <w:rFonts w:hint="eastAsia" w:ascii="宋体" w:hAnsi="宋体" w:eastAsia="宋体" w:cs="宋体"/>
          <w:color w:val="000000"/>
          <w:sz w:val="24"/>
          <w:szCs w:val="24"/>
          <w:highlight w:val="none"/>
        </w:rPr>
      </w:r>
      <w:r/>
    </w:p>
    <w:p>
      <w:pPr>
        <w:pStyle w:val="801"/>
        <w:ind w:left="0" w:right="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6 施工设备和临时设施</w:t>
      </w:r>
      <w:r>
        <w:rPr>
          <w:rFonts w:hint="eastAsia" w:ascii="宋体" w:hAnsi="宋体" w:eastAsia="宋体" w:cs="宋体"/>
          <w:color w:val="000000"/>
          <w:sz w:val="24"/>
          <w:szCs w:val="24"/>
          <w:highlight w:val="none"/>
        </w:rPr>
      </w:r>
      <w:r/>
    </w:p>
    <w:p>
      <w:pPr>
        <w:pStyle w:val="801"/>
        <w:ind w:left="0" w:right="0"/>
        <w:jc w:val="both"/>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6.1  承包人提供的施工设备和临时设施</w:t>
      </w:r>
      <w:r>
        <w:rPr>
          <w:rFonts w:hint="eastAsia" w:ascii="宋体" w:hAnsi="宋体" w:eastAsia="宋体" w:cs="宋体"/>
          <w:b/>
          <w:bCs/>
          <w:color w:val="000000"/>
          <w:sz w:val="24"/>
          <w:szCs w:val="24"/>
          <w:highlight w:val="none"/>
        </w:rPr>
      </w:r>
      <w:r/>
    </w:p>
    <w:p>
      <w:pPr>
        <w:pStyle w:val="801"/>
        <w:ind w:left="0" w:right="0" w:firstLine="480"/>
        <w:jc w:val="both"/>
        <w:keepLines w:val="0"/>
        <w:keepNext w:val="0"/>
        <w:pageBreakBefore w:val="0"/>
        <w:spacing w:line="36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增加以下条款：</w:t>
      </w:r>
      <w:r>
        <w:rPr>
          <w:rFonts w:ascii="宋体" w:hAnsi="宋体" w:eastAsia="宋体" w:cs="宋体"/>
          <w:color w:val="000000"/>
          <w:sz w:val="24"/>
          <w:szCs w:val="24"/>
          <w:highlight w:val="none"/>
          <w:lang w:val="en-US" w:eastAsia="zh-CN"/>
        </w:rPr>
      </w:r>
      <w:r/>
    </w:p>
    <w:p>
      <w:pPr>
        <w:pStyle w:val="801"/>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6.1.</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为实施和完成本标段及其缺陷的修复，承包人应按投标文件中所报的设备型号、规格、数量和时间向现场调遣或租用主要施工机械及材料试验、质检仪器设备，进入施工现场的承包人设备需经监理人核查后才能投入使用。承包人更换合同约定的承包人设备的，应报监理人批准。所有施工设备不得拖延、短缺或任意更换，否则将按第22.1款视为承包人违约。</w:t>
      </w:r>
      <w:r>
        <w:rPr>
          <w:rFonts w:hint="eastAsia" w:ascii="宋体" w:hAnsi="宋体" w:eastAsia="宋体" w:cs="宋体"/>
          <w:color w:val="000000"/>
          <w:sz w:val="24"/>
          <w:szCs w:val="24"/>
          <w:highlight w:val="none"/>
        </w:rPr>
      </w:r>
      <w:r/>
    </w:p>
    <w:p>
      <w:pPr>
        <w:pStyle w:val="801"/>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尽管承包人已按招标文件的要求提供了上述机械、设备和仪器，但当监理人认为仍不能满足现场施工的需要或不能保证工程安全和质量时，监理人有权要求承包人继续调遣或租用某些设备、仪器。承包人在接到指令后应立即执行，由此增加的费用和(或)工期延误由承包人承担。否则将按第22.1款视为承包人违约。</w:t>
      </w:r>
      <w:r>
        <w:rPr>
          <w:rFonts w:hint="eastAsia" w:ascii="宋体" w:hAnsi="宋体" w:eastAsia="宋体" w:cs="宋体"/>
          <w:color w:val="000000"/>
          <w:sz w:val="24"/>
          <w:szCs w:val="24"/>
          <w:highlight w:val="none"/>
        </w:rPr>
      </w:r>
      <w:r/>
    </w:p>
    <w:p>
      <w:pPr>
        <w:pStyle w:val="801"/>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6.1.</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承包人修建临时设施和（或）需要临时占地的，应由承包人办理申请手续并承担相应费用，发包人可提供协助。</w:t>
      </w:r>
      <w:r>
        <w:rPr>
          <w:rFonts w:hint="eastAsia" w:ascii="宋体" w:hAnsi="宋体" w:eastAsia="宋体" w:cs="宋体"/>
          <w:color w:val="000000"/>
          <w:sz w:val="24"/>
          <w:szCs w:val="24"/>
          <w:highlight w:val="none"/>
        </w:rPr>
      </w:r>
      <w:r/>
    </w:p>
    <w:p>
      <w:pPr>
        <w:pStyle w:val="801"/>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6.1.</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  实施程序</w:t>
      </w:r>
      <w:r>
        <w:rPr>
          <w:rFonts w:hint="eastAsia" w:ascii="宋体" w:hAnsi="宋体" w:eastAsia="宋体" w:cs="宋体"/>
          <w:color w:val="000000"/>
          <w:sz w:val="24"/>
          <w:szCs w:val="24"/>
          <w:highlight w:val="none"/>
        </w:rPr>
      </w:r>
      <w:r/>
    </w:p>
    <w:p>
      <w:pPr>
        <w:pStyle w:val="801"/>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⑴承包人应在合同签订后的 28 天内将有关临时工程与设施的布置、结构等施工图纸和相关资料提交监理人审查，有义务对监理人的疑问进行解答，并在必要时修改设计直至完全获得监理人的同意。</w:t>
      </w:r>
      <w:r>
        <w:rPr>
          <w:rFonts w:hint="eastAsia" w:ascii="宋体" w:hAnsi="宋体" w:eastAsia="宋体" w:cs="宋体"/>
          <w:color w:val="000000"/>
          <w:sz w:val="24"/>
          <w:szCs w:val="24"/>
          <w:highlight w:val="none"/>
        </w:rPr>
      </w:r>
      <w:r/>
    </w:p>
    <w:p>
      <w:pPr>
        <w:pStyle w:val="801"/>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⑵任何临时工程与设施的开工，均需经监理人书面同意。承包人应在计划的开工日期 7 天前向监理人书面提出相应临时工程与设施的开工申请。</w:t>
      </w:r>
      <w:r>
        <w:rPr>
          <w:rFonts w:hint="eastAsia" w:ascii="宋体" w:hAnsi="宋体" w:eastAsia="宋体" w:cs="宋体"/>
          <w:color w:val="000000"/>
          <w:sz w:val="24"/>
          <w:szCs w:val="24"/>
          <w:highlight w:val="none"/>
        </w:rPr>
      </w:r>
      <w:r/>
    </w:p>
    <w:p>
      <w:pPr>
        <w:pStyle w:val="801"/>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⑶临时工程与设施需经监理人验收同意后方可投入使用，但为此不应减轻承包人对其质量负责。</w:t>
      </w:r>
      <w:r>
        <w:rPr>
          <w:rFonts w:hint="eastAsia" w:ascii="宋体" w:hAnsi="宋体" w:eastAsia="宋体" w:cs="宋体"/>
          <w:color w:val="000000"/>
          <w:sz w:val="24"/>
          <w:szCs w:val="24"/>
          <w:highlight w:val="none"/>
        </w:rPr>
      </w:r>
      <w:r/>
    </w:p>
    <w:p>
      <w:pPr>
        <w:pStyle w:val="801"/>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6.1.</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  协助与拆除</w:t>
      </w:r>
      <w:r>
        <w:rPr>
          <w:rFonts w:hint="eastAsia" w:ascii="宋体" w:hAnsi="宋体" w:eastAsia="宋体" w:cs="宋体"/>
          <w:color w:val="000000"/>
          <w:sz w:val="24"/>
          <w:szCs w:val="24"/>
          <w:highlight w:val="none"/>
        </w:rPr>
      </w:r>
      <w:r/>
    </w:p>
    <w:p>
      <w:pPr>
        <w:pStyle w:val="801"/>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⑴临时工程与设施开工前承包人应向当地政府有关部门（水利、港航监督、土地管理、公路等）提出申请，并应得到其书面批准。发包人和监理人应在获得批准方面给予帮助，不论效果怎样，均不能减轻承包人在合同范围内应负的责任。</w:t>
      </w:r>
      <w:r>
        <w:rPr>
          <w:rFonts w:hint="eastAsia" w:ascii="宋体" w:hAnsi="宋体" w:eastAsia="宋体" w:cs="宋体"/>
          <w:color w:val="000000"/>
          <w:sz w:val="24"/>
          <w:szCs w:val="24"/>
          <w:highlight w:val="none"/>
        </w:rPr>
      </w:r>
      <w:r/>
    </w:p>
    <w:p>
      <w:pPr>
        <w:pStyle w:val="801"/>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⑵在不影响工程施工的情况下，承包人有义务为现场的其它承包人对临时工程与设施的使用提供协助配合，并不因此增加额外的费用。</w:t>
      </w:r>
      <w:r>
        <w:rPr>
          <w:rFonts w:hint="eastAsia" w:ascii="宋体" w:hAnsi="宋体" w:eastAsia="宋体" w:cs="宋体"/>
          <w:color w:val="000000"/>
          <w:sz w:val="24"/>
          <w:szCs w:val="24"/>
          <w:highlight w:val="none"/>
        </w:rPr>
      </w:r>
      <w:r/>
    </w:p>
    <w:p>
      <w:pPr>
        <w:pStyle w:val="801"/>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⑶除非另有协议或监理人另有指示，永久工程完工后，承包人应撤走、拆除和处理全部临时工程与设施。并把由于建造时占用的区域整理好，但任何临时工程的撤除、拆除等必须事先取得监理人的同意，拆除的临时工程不得堆置在基坑周围以及可能影响施工的地方，应尽快运出工地，直至监理人满意。</w:t>
      </w:r>
      <w:r>
        <w:rPr>
          <w:rFonts w:hint="eastAsia" w:ascii="宋体" w:hAnsi="宋体" w:eastAsia="宋体" w:cs="宋体"/>
          <w:color w:val="000000"/>
          <w:sz w:val="24"/>
          <w:szCs w:val="24"/>
          <w:highlight w:val="none"/>
        </w:rPr>
      </w:r>
      <w:r/>
    </w:p>
    <w:p>
      <w:pPr>
        <w:pStyle w:val="801"/>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6.1.</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  责任与义务</w:t>
      </w:r>
      <w:r>
        <w:rPr>
          <w:rFonts w:hint="eastAsia" w:ascii="宋体" w:hAnsi="宋体" w:eastAsia="宋体" w:cs="宋体"/>
          <w:color w:val="000000"/>
          <w:sz w:val="24"/>
          <w:szCs w:val="24"/>
          <w:highlight w:val="none"/>
        </w:rPr>
      </w:r>
      <w:r/>
    </w:p>
    <w:p>
      <w:pPr>
        <w:pStyle w:val="801"/>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⑴由于临时工程与设施未能及时交付使用或质量问题等而造成的工程延误或可能的费用增加应由承包人负责。</w:t>
      </w:r>
      <w:r>
        <w:rPr>
          <w:rFonts w:hint="eastAsia" w:ascii="宋体" w:hAnsi="宋体" w:eastAsia="宋体" w:cs="宋体"/>
          <w:color w:val="000000"/>
          <w:sz w:val="24"/>
          <w:szCs w:val="24"/>
          <w:highlight w:val="none"/>
        </w:rPr>
      </w:r>
      <w:r/>
    </w:p>
    <w:p>
      <w:pPr>
        <w:pStyle w:val="801"/>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⑵承包人应确保临时工程与设施在使用期间安全可靠，监理人对有关设计文件资料的批复不减轻承包人的任何责任。</w:t>
      </w:r>
      <w:r>
        <w:rPr>
          <w:rFonts w:hint="eastAsia" w:ascii="宋体" w:hAnsi="宋体" w:eastAsia="宋体" w:cs="宋体"/>
          <w:color w:val="000000"/>
          <w:sz w:val="24"/>
          <w:szCs w:val="24"/>
          <w:highlight w:val="none"/>
        </w:rPr>
      </w:r>
      <w:r/>
    </w:p>
    <w:p>
      <w:pPr>
        <w:pStyle w:val="801"/>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⑶所有用于临时工程与设施的材料、设备必须符合经监理人批准的设计资料的要求，特别对于反复使用的材料和设备须通过性能检测，经监理人验收同意方可进入现场使用。</w:t>
      </w:r>
      <w:r>
        <w:rPr>
          <w:rFonts w:hint="eastAsia" w:ascii="宋体" w:hAnsi="宋体" w:eastAsia="宋体" w:cs="宋体"/>
          <w:color w:val="000000"/>
          <w:sz w:val="24"/>
          <w:szCs w:val="24"/>
          <w:highlight w:val="none"/>
        </w:rPr>
      </w:r>
      <w:r/>
    </w:p>
    <w:p>
      <w:pPr>
        <w:pStyle w:val="801"/>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⑷承包人有义务对临时工程与设施在施工期的观测资料进行及时的分析、整理，并报送监理人。因承包人未能及时将有关异常的观测信息反馈给监理人而造成的延误和损失由承包人承担。</w:t>
      </w:r>
      <w:r>
        <w:rPr>
          <w:rFonts w:hint="eastAsia" w:ascii="宋体" w:hAnsi="宋体" w:eastAsia="宋体" w:cs="宋体"/>
          <w:color w:val="000000"/>
          <w:sz w:val="24"/>
          <w:szCs w:val="24"/>
          <w:highlight w:val="none"/>
        </w:rPr>
      </w:r>
      <w:r/>
    </w:p>
    <w:p>
      <w:pPr>
        <w:pStyle w:val="801"/>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⑸工程实施过程中，承包人应做好与交通、海事、航道、水利、渔政、自然资源、林业、航政、环保、公安、建设、城管等部门的沟通、协调工作。</w:t>
      </w:r>
      <w:r>
        <w:rPr>
          <w:rFonts w:hint="eastAsia" w:ascii="宋体" w:hAnsi="宋体" w:eastAsia="宋体" w:cs="宋体"/>
          <w:color w:val="000000"/>
          <w:sz w:val="24"/>
          <w:szCs w:val="24"/>
          <w:highlight w:val="none"/>
        </w:rPr>
      </w:r>
      <w:r/>
    </w:p>
    <w:p>
      <w:pPr>
        <w:pStyle w:val="801"/>
        <w:ind w:left="0" w:right="0"/>
        <w:jc w:val="both"/>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6.2  发包人提供的施工设备和临时设施</w:t>
      </w:r>
      <w:r>
        <w:rPr>
          <w:rFonts w:hint="eastAsia" w:ascii="宋体" w:hAnsi="宋体" w:eastAsia="宋体" w:cs="宋体"/>
          <w:b/>
          <w:bCs/>
          <w:color w:val="000000"/>
          <w:sz w:val="24"/>
          <w:szCs w:val="24"/>
          <w:highlight w:val="none"/>
        </w:rPr>
      </w:r>
      <w:r/>
    </w:p>
    <w:p>
      <w:pPr>
        <w:pStyle w:val="801"/>
        <w:ind w:left="0" w:right="0"/>
        <w:jc w:val="both"/>
        <w:keepLines w:val="0"/>
        <w:keepNext w:val="0"/>
        <w:pageBreakBefore w:val="0"/>
        <w:spacing w:line="360" w:lineRule="auto"/>
        <w:widowControl w:val="off"/>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     发包人在本合同施工中应提供的施工设备和临时设施：无。</w:t>
      </w:r>
      <w:r>
        <w:rPr>
          <w:rFonts w:hint="eastAsia" w:ascii="宋体" w:hAnsi="宋体" w:eastAsia="宋体" w:cs="宋体"/>
          <w:color w:val="000000"/>
          <w:sz w:val="24"/>
          <w:szCs w:val="24"/>
          <w:highlight w:val="none"/>
          <w:u w:val="single"/>
        </w:rPr>
      </w:r>
      <w:r/>
    </w:p>
    <w:p>
      <w:pPr>
        <w:pStyle w:val="801"/>
        <w:ind w:left="0" w:right="0"/>
        <w:jc w:val="both"/>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7  交通运输</w:t>
      </w:r>
      <w:r>
        <w:rPr>
          <w:rFonts w:hint="eastAsia" w:ascii="宋体" w:hAnsi="宋体" w:eastAsia="宋体" w:cs="宋体"/>
          <w:b/>
          <w:bCs/>
          <w:color w:val="000000"/>
          <w:sz w:val="24"/>
          <w:szCs w:val="24"/>
          <w:highlight w:val="none"/>
        </w:rPr>
      </w:r>
      <w:r/>
    </w:p>
    <w:p>
      <w:pPr>
        <w:pStyle w:val="801"/>
        <w:ind w:left="0" w:right="0"/>
        <w:jc w:val="both"/>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7.1  道路通行权和场外设施</w:t>
      </w:r>
      <w:r>
        <w:rPr>
          <w:rFonts w:hint="eastAsia" w:ascii="宋体" w:hAnsi="宋体" w:eastAsia="宋体" w:cs="宋体"/>
          <w:b/>
          <w:bCs/>
          <w:color w:val="000000"/>
          <w:sz w:val="24"/>
          <w:szCs w:val="24"/>
          <w:highlight w:val="none"/>
        </w:rPr>
      </w:r>
      <w:r/>
    </w:p>
    <w:p>
      <w:pPr>
        <w:pStyle w:val="801"/>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承包人应根据合同工程的施工需要，负责办理取得出入施工场地的专用和临时道路的通行权，以及取得为工程建设所需修建场外设施的权利，并承担有关费用。发包人应协助承包人办理上述手续。</w:t>
      </w:r>
      <w:r>
        <w:rPr>
          <w:rFonts w:hint="eastAsia" w:ascii="宋体" w:hAnsi="宋体" w:eastAsia="宋体" w:cs="宋体"/>
          <w:color w:val="000000"/>
          <w:sz w:val="24"/>
          <w:szCs w:val="24"/>
          <w:highlight w:val="none"/>
        </w:rPr>
      </w:r>
      <w:r/>
    </w:p>
    <w:p>
      <w:pPr>
        <w:pStyle w:val="801"/>
        <w:ind w:left="0" w:right="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7.4 超大件和超重件的运输</w:t>
      </w:r>
      <w:r>
        <w:rPr>
          <w:rFonts w:hint="eastAsia" w:ascii="宋体" w:hAnsi="宋体" w:eastAsia="宋体" w:cs="宋体"/>
          <w:color w:val="000000"/>
          <w:sz w:val="24"/>
          <w:szCs w:val="24"/>
          <w:highlight w:val="none"/>
        </w:rPr>
      </w:r>
      <w:r/>
    </w:p>
    <w:p>
      <w:pPr>
        <w:pStyle w:val="801"/>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7.4.1 超大、超宽、超重物件的运输：</w:t>
      </w:r>
      <w:r>
        <w:rPr>
          <w:rFonts w:hint="eastAsia" w:ascii="宋体" w:hAnsi="宋体" w:eastAsia="宋体" w:cs="宋体"/>
          <w:color w:val="000000"/>
          <w:sz w:val="24"/>
          <w:szCs w:val="24"/>
          <w:highlight w:val="none"/>
          <w:u w:val="single"/>
        </w:rPr>
        <w:t xml:space="preserve">应由承包人负责向交通管理部门办理申请手续，发包人给予协助。</w:t>
      </w:r>
      <w:r>
        <w:rPr>
          <w:rFonts w:hint="eastAsia" w:ascii="宋体" w:hAnsi="宋体" w:eastAsia="宋体" w:cs="宋体"/>
          <w:color w:val="000000"/>
          <w:sz w:val="24"/>
          <w:szCs w:val="24"/>
          <w:highlight w:val="none"/>
          <w:u w:val="single"/>
        </w:rPr>
      </w:r>
      <w:r/>
    </w:p>
    <w:p>
      <w:pPr>
        <w:pStyle w:val="801"/>
        <w:ind w:left="0" w:right="0"/>
        <w:jc w:val="both"/>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8  测量放线</w:t>
      </w:r>
      <w:r>
        <w:rPr>
          <w:rFonts w:hint="eastAsia" w:ascii="宋体" w:hAnsi="宋体" w:eastAsia="宋体" w:cs="宋体"/>
          <w:b/>
          <w:bCs/>
          <w:color w:val="000000"/>
          <w:sz w:val="24"/>
          <w:szCs w:val="24"/>
          <w:highlight w:val="none"/>
        </w:rPr>
      </w:r>
      <w:r/>
    </w:p>
    <w:p>
      <w:pPr>
        <w:pStyle w:val="801"/>
        <w:ind w:left="0" w:right="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8.1  施工控制网</w:t>
      </w:r>
      <w:r>
        <w:rPr>
          <w:rFonts w:hint="eastAsia" w:ascii="宋体" w:hAnsi="宋体" w:eastAsia="宋体" w:cs="宋体"/>
          <w:color w:val="000000"/>
          <w:sz w:val="24"/>
          <w:szCs w:val="24"/>
          <w:highlight w:val="none"/>
        </w:rPr>
      </w:r>
      <w:r/>
    </w:p>
    <w:p>
      <w:pPr>
        <w:pStyle w:val="801"/>
        <w:ind w:left="0" w:right="0" w:firstLine="480"/>
        <w:jc w:val="both"/>
        <w:keepLines w:val="0"/>
        <w:keepNext w:val="0"/>
        <w:pageBreakBefore w:val="0"/>
        <w:spacing w:line="36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增加以下条款：</w:t>
      </w:r>
      <w:r>
        <w:rPr>
          <w:rFonts w:ascii="宋体" w:hAnsi="宋体" w:eastAsia="宋体" w:cs="宋体"/>
          <w:color w:val="000000"/>
          <w:sz w:val="24"/>
          <w:szCs w:val="24"/>
          <w:highlight w:val="none"/>
          <w:lang w:val="en-US" w:eastAsia="zh-CN"/>
        </w:rPr>
      </w:r>
      <w:r/>
    </w:p>
    <w:p>
      <w:pPr>
        <w:pStyle w:val="801"/>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8.1.3</w:t>
      </w:r>
      <w:r>
        <w:rPr>
          <w:rFonts w:hint="eastAsia" w:ascii="宋体" w:hAnsi="宋体" w:eastAsia="宋体" w:cs="宋体"/>
          <w:color w:val="000000"/>
          <w:sz w:val="24"/>
          <w:szCs w:val="24"/>
          <w:highlight w:val="none"/>
        </w:rPr>
        <w:t xml:space="preserve">发包人在计划开工日期 14 天前，通过监理人向承包人提供原始控制网(基准点、基准高程等)书面资料，并现场向承包人交桩，做好交桩记录，交桩记录必须经监理人、承包人双方签字确认。承包人应根据施工需要进行必要的复测和加密，各标段衔接处的测量应在监理人的统一协调下进行，将测量结果协调统一在允许的误差范围内。监理人还负责对承包人对控制网的复测、加密、施工定线和放样进行检查验收。承包人应：</w:t>
      </w:r>
      <w:r>
        <w:rPr>
          <w:rFonts w:hint="eastAsia" w:ascii="宋体" w:hAnsi="宋体" w:eastAsia="宋体" w:cs="宋体"/>
          <w:color w:val="000000"/>
          <w:sz w:val="24"/>
          <w:szCs w:val="24"/>
          <w:highlight w:val="none"/>
        </w:rPr>
      </w:r>
      <w:r/>
    </w:p>
    <w:p>
      <w:pPr>
        <w:pStyle w:val="801"/>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⑴根据监理人书面移交的控制网数据，负责对原始控制网数据的复测，根据工程施工放样的需要对控制网进行加密；</w:t>
      </w:r>
      <w:r>
        <w:rPr>
          <w:rFonts w:hint="eastAsia" w:ascii="宋体" w:hAnsi="宋体" w:eastAsia="宋体" w:cs="宋体"/>
          <w:color w:val="000000"/>
          <w:sz w:val="24"/>
          <w:szCs w:val="24"/>
          <w:highlight w:val="none"/>
        </w:rPr>
      </w:r>
      <w:r/>
    </w:p>
    <w:p>
      <w:pPr>
        <w:pStyle w:val="801"/>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⑵根据本标段的测量控制需要，对已完相邻工程进行必要的复测，向监理人提出复测报告，其费用由承包人承担；</w:t>
      </w:r>
      <w:r>
        <w:rPr>
          <w:rFonts w:hint="eastAsia" w:ascii="宋体" w:hAnsi="宋体" w:eastAsia="宋体" w:cs="宋体"/>
          <w:color w:val="000000"/>
          <w:sz w:val="24"/>
          <w:szCs w:val="24"/>
          <w:highlight w:val="none"/>
        </w:rPr>
      </w:r>
      <w:r/>
    </w:p>
    <w:p>
      <w:pPr>
        <w:pStyle w:val="801"/>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⑶在合同工程的整个施工期间，承包人必须对原始控制点及加密点的保护工作，对因自身原因造成原始控制点的破坏根据相关法律法规承担相应责任，对加密点进行免费修复，且不得因此向发包人索取可能延长的工期和可能增加的费用；由于控制点的破坏，造成工程不符合要求，由此引起的修复费用由承包人承担；</w:t>
      </w:r>
      <w:r>
        <w:rPr>
          <w:rFonts w:hint="eastAsia" w:ascii="宋体" w:hAnsi="宋体" w:eastAsia="宋体" w:cs="宋体"/>
          <w:color w:val="000000"/>
          <w:sz w:val="24"/>
          <w:szCs w:val="24"/>
          <w:highlight w:val="none"/>
        </w:rPr>
      </w:r>
      <w:r/>
    </w:p>
    <w:p>
      <w:pPr>
        <w:pStyle w:val="801"/>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⑷根据监理人书面移交的控制网数据，由承包人自行布置测量控制网，满足施工及相关规范要求；承包人应根据国家测绘基准、测绘系统和工程测量技术规范，按上述基准点(线)以及合同工程精度要求，测设施工控制网，并在开工之日 28 天内，将施工控制网资料报送监理人审批。承包人应对本工程进行准确的放样，并对本工程各部分的平面位置、标高、几何尺寸及其线形的正确性负责；</w:t>
      </w:r>
      <w:r>
        <w:rPr>
          <w:rFonts w:hint="eastAsia" w:ascii="宋体" w:hAnsi="宋体" w:eastAsia="宋体" w:cs="宋体"/>
          <w:color w:val="000000"/>
          <w:sz w:val="24"/>
          <w:szCs w:val="24"/>
          <w:highlight w:val="none"/>
        </w:rPr>
      </w:r>
      <w:r/>
    </w:p>
    <w:p>
      <w:pPr>
        <w:pStyle w:val="801"/>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⑸承包人应负责管理施工控制网点。施工控制网点丢失或损坏的，承包人应及时修复。承包人应承担施工控制网点的管理与修复费用，并在工程完成后将施工控制网点移交发包人。</w:t>
      </w:r>
      <w:r>
        <w:rPr>
          <w:rFonts w:hint="eastAsia" w:ascii="宋体" w:hAnsi="宋体" w:eastAsia="宋体" w:cs="宋体"/>
          <w:color w:val="000000"/>
          <w:sz w:val="24"/>
          <w:szCs w:val="24"/>
          <w:highlight w:val="none"/>
        </w:rPr>
      </w:r>
      <w:r/>
    </w:p>
    <w:p>
      <w:pPr>
        <w:pStyle w:val="801"/>
        <w:ind w:left="0" w:right="0"/>
        <w:jc w:val="both"/>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8.2  施工测量</w:t>
      </w:r>
      <w:r>
        <w:rPr>
          <w:rFonts w:hint="eastAsia" w:ascii="宋体" w:hAnsi="宋体" w:eastAsia="宋体" w:cs="宋体"/>
          <w:b/>
          <w:color w:val="000000"/>
          <w:sz w:val="24"/>
          <w:szCs w:val="24"/>
          <w:highlight w:val="none"/>
        </w:rPr>
      </w:r>
      <w:r/>
    </w:p>
    <w:p>
      <w:pPr>
        <w:pStyle w:val="801"/>
        <w:ind w:left="0" w:right="0" w:firstLine="480"/>
        <w:jc w:val="both"/>
        <w:keepLines w:val="0"/>
        <w:keepNext w:val="0"/>
        <w:pageBreakBefore w:val="0"/>
        <w:spacing w:line="36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增加以下条款：</w:t>
      </w:r>
      <w:r>
        <w:rPr>
          <w:rFonts w:ascii="宋体" w:hAnsi="宋体" w:eastAsia="宋体" w:cs="宋体"/>
          <w:color w:val="000000"/>
          <w:sz w:val="24"/>
          <w:szCs w:val="24"/>
          <w:highlight w:val="none"/>
          <w:lang w:val="en-US" w:eastAsia="zh-CN"/>
        </w:rPr>
      </w:r>
      <w:r/>
    </w:p>
    <w:p>
      <w:pPr>
        <w:pStyle w:val="801"/>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8.2.3</w:t>
      </w:r>
      <w:r>
        <w:rPr>
          <w:rFonts w:hint="eastAsia" w:ascii="宋体" w:hAnsi="宋体" w:eastAsia="宋体" w:cs="宋体"/>
          <w:color w:val="000000"/>
          <w:sz w:val="24"/>
          <w:szCs w:val="24"/>
          <w:highlight w:val="none"/>
        </w:rPr>
        <w:t xml:space="preserve">承包人负责提供与放样工作有关的劳务、机具及仪器设备。应经常对使用的测量仪器进行定期检查与校正，填写检查证书报监理人核查。在本标段施工过程中，如果工程任何部分的位置、标高、尺寸或线形出现超出合同规定的误差，一经发现，承包人应自费纠正，直到监理人认为符合合同规定为止。</w:t>
      </w:r>
      <w:r>
        <w:rPr>
          <w:rFonts w:hint="eastAsia" w:ascii="宋体" w:hAnsi="宋体" w:eastAsia="宋体" w:cs="宋体"/>
          <w:color w:val="000000"/>
          <w:sz w:val="24"/>
          <w:szCs w:val="24"/>
          <w:highlight w:val="none"/>
        </w:rPr>
      </w:r>
      <w:r/>
    </w:p>
    <w:p>
      <w:pPr>
        <w:pStyle w:val="801"/>
        <w:ind w:left="0" w:right="0" w:firstLine="480"/>
        <w:jc w:val="both"/>
        <w:keepLines w:val="0"/>
        <w:keepNext w:val="0"/>
        <w:pageBreakBefore w:val="0"/>
        <w:spacing w:line="360"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8.2.</w:t>
      </w:r>
      <w:r>
        <w:rPr>
          <w:rFonts w:hint="eastAsia" w:ascii="宋体" w:hAnsi="宋体" w:eastAsia="宋体" w:cs="宋体"/>
          <w:b w:val="0"/>
          <w:bCs/>
          <w:color w:val="000000"/>
          <w:sz w:val="24"/>
          <w:szCs w:val="24"/>
          <w:highlight w:val="none"/>
          <w:lang w:val="en-US" w:eastAsia="zh-CN"/>
        </w:rPr>
        <w:t xml:space="preserve">4</w:t>
      </w:r>
      <w:r>
        <w:rPr>
          <w:rFonts w:hint="eastAsia" w:ascii="宋体" w:hAnsi="宋体" w:eastAsia="宋体" w:cs="宋体"/>
          <w:b w:val="0"/>
          <w:bCs/>
          <w:color w:val="000000"/>
          <w:sz w:val="24"/>
          <w:szCs w:val="24"/>
          <w:highlight w:val="none"/>
        </w:rPr>
        <w:t xml:space="preserve">　施工期间观测与检查</w:t>
      </w:r>
      <w:r>
        <w:rPr>
          <w:rFonts w:hint="eastAsia" w:ascii="宋体" w:hAnsi="宋体" w:eastAsia="宋体" w:cs="宋体"/>
          <w:b w:val="0"/>
          <w:bCs/>
          <w:color w:val="000000"/>
          <w:sz w:val="24"/>
          <w:szCs w:val="24"/>
          <w:highlight w:val="none"/>
        </w:rPr>
      </w:r>
      <w:r/>
    </w:p>
    <w:p>
      <w:pPr>
        <w:pStyle w:val="801"/>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8.2.</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.1 承包人应在开工前 14 天内提交上述所有监测项目的实施计划、措施及可能发生异常情况的处理方案，经监理人批准后在施工中执行。</w:t>
      </w:r>
      <w:r>
        <w:rPr>
          <w:rFonts w:hint="eastAsia" w:ascii="宋体" w:hAnsi="宋体" w:eastAsia="宋体" w:cs="宋体"/>
          <w:color w:val="000000"/>
          <w:sz w:val="24"/>
          <w:szCs w:val="24"/>
          <w:highlight w:val="none"/>
        </w:rPr>
      </w:r>
      <w:r/>
    </w:p>
    <w:p>
      <w:pPr>
        <w:pStyle w:val="801"/>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8.2.</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.2 各观测项目观测点的布置、观测频度等应在提交的实施计划中明确，并随工程进展，观测数据的变化及监理人的要求适当调整观测点数和观测频度，确保观测资料的客观全面。</w:t>
      </w:r>
      <w:r>
        <w:rPr>
          <w:rFonts w:hint="eastAsia" w:ascii="宋体" w:hAnsi="宋体" w:eastAsia="宋体" w:cs="宋体"/>
          <w:color w:val="000000"/>
          <w:sz w:val="24"/>
          <w:szCs w:val="24"/>
          <w:highlight w:val="none"/>
        </w:rPr>
      </w:r>
      <w:r/>
    </w:p>
    <w:p>
      <w:pPr>
        <w:pStyle w:val="801"/>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8.2.</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.3 各观测项目应随着工程进度而及时开展，观测应定期进行，数据资料应详实可靠。</w:t>
      </w:r>
      <w:r>
        <w:rPr>
          <w:rFonts w:hint="eastAsia" w:ascii="宋体" w:hAnsi="宋体" w:eastAsia="宋体" w:cs="宋体"/>
          <w:color w:val="000000"/>
          <w:sz w:val="24"/>
          <w:szCs w:val="24"/>
          <w:highlight w:val="none"/>
        </w:rPr>
      </w:r>
      <w:r/>
    </w:p>
    <w:p>
      <w:pPr>
        <w:pStyle w:val="801"/>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8.2.</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.4 因承包人未能及时反馈有关异常信息，未果断采取必要的防范、加固措施或未按监理人的指令采取补救措施而造成的一切损失由承包人承担。</w:t>
      </w:r>
      <w:r>
        <w:rPr>
          <w:rFonts w:hint="eastAsia" w:ascii="宋体" w:hAnsi="宋体" w:eastAsia="宋体" w:cs="宋体"/>
          <w:color w:val="000000"/>
          <w:sz w:val="24"/>
          <w:szCs w:val="24"/>
          <w:highlight w:val="none"/>
        </w:rPr>
      </w:r>
      <w:r/>
    </w:p>
    <w:p>
      <w:pPr>
        <w:pStyle w:val="801"/>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8.2.</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.5 所有用于本工程监测的仪器设备必须预先经过校正率定，并获得监理人的验收认可。</w:t>
      </w:r>
      <w:r>
        <w:rPr>
          <w:rFonts w:hint="eastAsia" w:ascii="宋体" w:hAnsi="宋体" w:eastAsia="宋体" w:cs="宋体"/>
          <w:color w:val="000000"/>
          <w:sz w:val="24"/>
          <w:szCs w:val="24"/>
          <w:highlight w:val="none"/>
        </w:rPr>
      </w:r>
      <w:r/>
    </w:p>
    <w:p>
      <w:pPr>
        <w:pStyle w:val="801"/>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8.2.</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.6 承包人应及时对观测所得数据和结果进行分析整理并上报监理人，在发现数据异常时应及时采取有效的控制措施，防止形成灾害或灾害扩大。同时尽快向监理人汇报，会同有关各方分析原因，商讨进一步的维护补救措施。</w:t>
      </w:r>
      <w:r>
        <w:rPr>
          <w:rFonts w:hint="eastAsia" w:ascii="宋体" w:hAnsi="宋体" w:eastAsia="宋体" w:cs="宋体"/>
          <w:color w:val="000000"/>
          <w:sz w:val="24"/>
          <w:szCs w:val="24"/>
          <w:highlight w:val="none"/>
        </w:rPr>
      </w:r>
      <w:r/>
    </w:p>
    <w:p>
      <w:pPr>
        <w:pStyle w:val="801"/>
        <w:ind w:left="0" w:right="0"/>
        <w:jc w:val="both"/>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9  施工安全、治安保卫和环境保护</w:t>
      </w:r>
      <w:r>
        <w:rPr>
          <w:rFonts w:hint="eastAsia" w:ascii="宋体" w:hAnsi="宋体" w:eastAsia="宋体" w:cs="宋体"/>
          <w:b/>
          <w:bCs/>
          <w:color w:val="000000"/>
          <w:sz w:val="24"/>
          <w:szCs w:val="24"/>
          <w:highlight w:val="none"/>
        </w:rPr>
      </w:r>
      <w:r/>
    </w:p>
    <w:p>
      <w:pPr>
        <w:pStyle w:val="801"/>
        <w:ind w:left="0" w:right="0"/>
        <w:jc w:val="both"/>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9.1  发包人的施工安全责任</w:t>
      </w:r>
      <w:r>
        <w:rPr>
          <w:rFonts w:hint="eastAsia" w:ascii="宋体" w:hAnsi="宋体" w:eastAsia="宋体" w:cs="宋体"/>
          <w:b/>
          <w:bCs/>
          <w:color w:val="000000"/>
          <w:sz w:val="24"/>
          <w:szCs w:val="24"/>
          <w:highlight w:val="none"/>
        </w:rPr>
      </w:r>
      <w:r/>
    </w:p>
    <w:p>
      <w:pPr>
        <w:pStyle w:val="801"/>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9.1.3项补充</w:t>
      </w:r>
      <w:r>
        <w:rPr>
          <w:rFonts w:hint="eastAsia" w:ascii="宋体" w:hAnsi="宋体" w:eastAsia="宋体" w:cs="宋体"/>
          <w:color w:val="000000"/>
          <w:sz w:val="24"/>
          <w:szCs w:val="24"/>
          <w:highlight w:val="none"/>
          <w:lang w:val="en-US" w:eastAsia="zh-CN"/>
        </w:rPr>
        <w:t xml:space="preserve">增加</w:t>
      </w:r>
      <w:r>
        <w:rPr>
          <w:rFonts w:hint="eastAsia" w:ascii="宋体" w:hAnsi="宋体" w:eastAsia="宋体" w:cs="宋体"/>
          <w:color w:val="000000"/>
          <w:sz w:val="24"/>
          <w:szCs w:val="24"/>
          <w:highlight w:val="none"/>
        </w:rPr>
        <w:t xml:space="preserve">：⑶如果承包人或其雇员也对上述人身伤亡或财产损失负有部分责任时，承包人也应承担相应赔偿责任。</w:t>
      </w:r>
      <w:r>
        <w:rPr>
          <w:rFonts w:hint="eastAsia" w:ascii="宋体" w:hAnsi="宋体" w:eastAsia="宋体" w:cs="宋体"/>
          <w:color w:val="000000"/>
          <w:sz w:val="24"/>
          <w:szCs w:val="24"/>
          <w:highlight w:val="none"/>
        </w:rPr>
      </w:r>
      <w:r/>
    </w:p>
    <w:p>
      <w:pPr>
        <w:pStyle w:val="801"/>
        <w:ind w:left="0" w:right="0" w:firstLine="482"/>
        <w:jc w:val="both"/>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增加以下条款：</w:t>
      </w:r>
      <w:r>
        <w:rPr>
          <w:rFonts w:hint="eastAsia" w:ascii="宋体" w:hAnsi="宋体" w:eastAsia="宋体" w:cs="宋体"/>
          <w:bCs/>
          <w:color w:val="000000"/>
          <w:sz w:val="24"/>
          <w:szCs w:val="24"/>
          <w:highlight w:val="none"/>
        </w:rPr>
      </w:r>
      <w:r/>
    </w:p>
    <w:p>
      <w:pPr>
        <w:pStyle w:val="801"/>
        <w:ind w:left="0" w:right="0" w:firstLine="480"/>
        <w:jc w:val="both"/>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9.1.4 宣传、贯彻、执行有关安全生产的法律、法规，按照法定权限制定本工程安全生产管理细则；</w:t>
      </w:r>
      <w:r>
        <w:rPr>
          <w:rFonts w:hint="eastAsia" w:ascii="宋体" w:hAnsi="宋体" w:eastAsia="宋体" w:cs="宋体"/>
          <w:bCs/>
          <w:color w:val="000000"/>
          <w:sz w:val="24"/>
          <w:szCs w:val="24"/>
          <w:highlight w:val="none"/>
        </w:rPr>
      </w:r>
      <w:r/>
    </w:p>
    <w:p>
      <w:pPr>
        <w:pStyle w:val="801"/>
        <w:ind w:left="0" w:right="0" w:firstLine="480"/>
        <w:jc w:val="both"/>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9.1.5 依法对本工程各从业单位安全生产条件实施监督管理，组织对施工、监理、试验、检测单位的考核工作；</w:t>
      </w:r>
      <w:r>
        <w:rPr>
          <w:rFonts w:hint="eastAsia" w:ascii="宋体" w:hAnsi="宋体" w:eastAsia="宋体" w:cs="宋体"/>
          <w:bCs/>
          <w:color w:val="000000"/>
          <w:sz w:val="24"/>
          <w:szCs w:val="24"/>
          <w:highlight w:val="none"/>
        </w:rPr>
      </w:r>
      <w:r/>
    </w:p>
    <w:p>
      <w:pPr>
        <w:pStyle w:val="801"/>
        <w:ind w:left="0" w:right="0" w:firstLine="480"/>
        <w:jc w:val="both"/>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9.1.6 建立工程安全生产应急管理机制，制定重大安全生产事故应急预案；</w:t>
      </w:r>
      <w:r>
        <w:rPr>
          <w:rFonts w:hint="eastAsia" w:ascii="宋体" w:hAnsi="宋体" w:eastAsia="宋体" w:cs="宋体"/>
          <w:bCs/>
          <w:color w:val="000000"/>
          <w:sz w:val="24"/>
          <w:szCs w:val="24"/>
          <w:highlight w:val="none"/>
        </w:rPr>
      </w:r>
      <w:r/>
    </w:p>
    <w:p>
      <w:pPr>
        <w:pStyle w:val="801"/>
        <w:ind w:left="0" w:right="0" w:firstLine="480"/>
        <w:jc w:val="both"/>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9.1.7 建立本工程各从业单位安全生产信用档案，作为交通行业信用体系建设的一部分，对从业单位和人员实施安全生产动态管理；</w:t>
      </w:r>
      <w:r>
        <w:rPr>
          <w:rFonts w:hint="eastAsia" w:ascii="宋体" w:hAnsi="宋体" w:eastAsia="宋体" w:cs="宋体"/>
          <w:bCs/>
          <w:color w:val="000000"/>
          <w:sz w:val="24"/>
          <w:szCs w:val="24"/>
          <w:highlight w:val="none"/>
        </w:rPr>
      </w:r>
      <w:r/>
    </w:p>
    <w:p>
      <w:pPr>
        <w:pStyle w:val="801"/>
        <w:ind w:left="0" w:right="0" w:firstLine="480"/>
        <w:jc w:val="both"/>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9.1.8 会同驻项目纪检受理工程安全生产方面的举报和投诉，依法对工程安全生产实施监督检查，并提出相应的处罚；</w:t>
      </w:r>
      <w:r>
        <w:rPr>
          <w:rFonts w:hint="eastAsia" w:ascii="宋体" w:hAnsi="宋体" w:eastAsia="宋体" w:cs="宋体"/>
          <w:bCs/>
          <w:color w:val="000000"/>
          <w:sz w:val="24"/>
          <w:szCs w:val="24"/>
          <w:highlight w:val="none"/>
        </w:rPr>
      </w:r>
      <w:r/>
    </w:p>
    <w:p>
      <w:pPr>
        <w:pStyle w:val="801"/>
        <w:ind w:left="0" w:right="0" w:firstLine="480"/>
        <w:jc w:val="both"/>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9.1.9 会同驻项目纪检依法组织、调查处理安全生产问题，对本工程安全生产问题进行统计分析，发布工程安全生产动态信息。负责向上级有关部门报送事故信息报告，配合和接受有关部门对安全生产事故的调查和处理；</w:t>
      </w:r>
      <w:r>
        <w:rPr>
          <w:rFonts w:hint="eastAsia" w:ascii="宋体" w:hAnsi="宋体" w:eastAsia="宋体" w:cs="宋体"/>
          <w:bCs/>
          <w:color w:val="000000"/>
          <w:sz w:val="24"/>
          <w:szCs w:val="24"/>
          <w:highlight w:val="none"/>
        </w:rPr>
      </w:r>
      <w:r/>
    </w:p>
    <w:p>
      <w:pPr>
        <w:pStyle w:val="801"/>
        <w:ind w:left="0" w:right="0" w:firstLine="480"/>
        <w:jc w:val="both"/>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9.1.10 开展本工程安全生产经验交流，促进安全生产知识水平的提高；</w:t>
      </w:r>
      <w:r>
        <w:rPr>
          <w:rFonts w:hint="eastAsia" w:ascii="宋体" w:hAnsi="宋体" w:eastAsia="宋体" w:cs="宋体"/>
          <w:bCs/>
          <w:color w:val="000000"/>
          <w:sz w:val="24"/>
          <w:szCs w:val="24"/>
          <w:highlight w:val="none"/>
        </w:rPr>
      </w:r>
      <w:r/>
    </w:p>
    <w:p>
      <w:pPr>
        <w:pStyle w:val="801"/>
        <w:ind w:left="0" w:right="0" w:firstLine="480"/>
        <w:jc w:val="both"/>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9.1.11 每季度召开一次安全工作联席会议（可视情况与相关会议合并召开），听取各单位安全工作汇报和建议，分析、研究解决安全工作有关问题，检查督促落实整改情况，决定安全工作有关奖惩事项。会议由专人记录，并签发会议纪要。如有特殊需要可临时召开相关安全工作会议；</w:t>
      </w:r>
      <w:r>
        <w:rPr>
          <w:rFonts w:hint="eastAsia" w:ascii="宋体" w:hAnsi="宋体" w:eastAsia="宋体" w:cs="宋体"/>
          <w:bCs/>
          <w:color w:val="000000"/>
          <w:sz w:val="24"/>
          <w:szCs w:val="24"/>
          <w:highlight w:val="none"/>
        </w:rPr>
      </w:r>
      <w:r/>
    </w:p>
    <w:p>
      <w:pPr>
        <w:pStyle w:val="801"/>
        <w:ind w:left="0" w:right="0" w:firstLine="480"/>
        <w:jc w:val="both"/>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9.1.12 全面推行“工具化、定型化、标准化”安全防护，各分部分项工程实现安</w:t>
      </w:r>
      <w:r>
        <w:rPr>
          <w:rFonts w:hint="eastAsia" w:ascii="宋体" w:hAnsi="宋体" w:eastAsia="宋体" w:cs="宋体"/>
          <w:bCs/>
          <w:color w:val="000000"/>
          <w:sz w:val="24"/>
          <w:szCs w:val="24"/>
          <w:highlight w:val="none"/>
        </w:rPr>
        <w:t xml:space="preserve">全标准化管理；</w:t>
      </w:r>
      <w:r>
        <w:rPr>
          <w:rFonts w:hint="eastAsia" w:ascii="宋体" w:hAnsi="宋体" w:eastAsia="宋体" w:cs="宋体"/>
          <w:bCs/>
          <w:color w:val="000000"/>
          <w:sz w:val="24"/>
          <w:szCs w:val="24"/>
          <w:highlight w:val="none"/>
        </w:rPr>
      </w:r>
      <w:r/>
    </w:p>
    <w:p>
      <w:pPr>
        <w:pStyle w:val="801"/>
        <w:ind w:left="0" w:right="0" w:firstLine="480"/>
        <w:jc w:val="both"/>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9.1.13 法律、法规规定的其他职责。</w:t>
      </w:r>
      <w:r>
        <w:rPr>
          <w:rFonts w:hint="eastAsia" w:ascii="宋体" w:hAnsi="宋体" w:eastAsia="宋体" w:cs="宋体"/>
          <w:bCs/>
          <w:color w:val="000000"/>
          <w:sz w:val="24"/>
          <w:szCs w:val="24"/>
          <w:highlight w:val="none"/>
        </w:rPr>
      </w:r>
      <w:r/>
    </w:p>
    <w:p>
      <w:pPr>
        <w:pStyle w:val="801"/>
        <w:ind w:left="0" w:right="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9.2  承包人的施工安全责任</w:t>
      </w:r>
      <w:r>
        <w:rPr>
          <w:rFonts w:hint="eastAsia" w:ascii="宋体" w:hAnsi="宋体" w:eastAsia="宋体" w:cs="宋体"/>
          <w:color w:val="000000"/>
          <w:sz w:val="24"/>
          <w:szCs w:val="24"/>
          <w:highlight w:val="none"/>
        </w:rPr>
      </w:r>
      <w:r/>
    </w:p>
    <w:p>
      <w:pPr>
        <w:pStyle w:val="801"/>
        <w:ind w:left="0" w:right="0" w:firstLine="482"/>
        <w:jc w:val="both"/>
        <w:keepLines w:val="0"/>
        <w:keepNext w:val="0"/>
        <w:pageBreakBefore w:val="0"/>
        <w:spacing w:line="360" w:lineRule="auto"/>
        <w:widowControl w:val="off"/>
        <w:rPr>
          <w:rFonts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增加以下条款：</w:t>
      </w:r>
      <w:r>
        <w:rPr>
          <w:rFonts w:ascii="宋体" w:hAnsi="宋体" w:eastAsia="宋体" w:cs="宋体"/>
          <w:b/>
          <w:bCs/>
          <w:color w:val="000000"/>
          <w:sz w:val="24"/>
          <w:szCs w:val="24"/>
          <w:highlight w:val="none"/>
          <w:lang w:val="en-US" w:eastAsia="zh-CN"/>
        </w:rPr>
      </w:r>
      <w:r/>
    </w:p>
    <w:p>
      <w:pPr>
        <w:pStyle w:val="801"/>
        <w:ind w:left="0" w:right="0" w:firstLine="482"/>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9.2.</w:t>
      </w:r>
      <w:r>
        <w:rPr>
          <w:rFonts w:hint="eastAsia" w:ascii="宋体" w:hAnsi="宋体" w:eastAsia="宋体" w:cs="宋体"/>
          <w:b/>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承包人应按合同约定履行安全职责，严格执行国家、地方政府有关施工安全管理方面的法律、法规及规章制度，同时严格执行发包人制订的本标段安全生产管理方面的规章制度、安全检查程序及施工安全管理要求，以及监理人有关安全工作的指示。</w:t>
      </w:r>
      <w:r>
        <w:rPr>
          <w:rFonts w:hint="eastAsia" w:ascii="宋体" w:hAnsi="宋体" w:eastAsia="宋体" w:cs="宋体"/>
          <w:color w:val="000000"/>
          <w:sz w:val="24"/>
          <w:szCs w:val="24"/>
          <w:highlight w:val="none"/>
        </w:rPr>
      </w:r>
      <w:r/>
    </w:p>
    <w:p>
      <w:pPr>
        <w:pStyle w:val="801"/>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承包人应根据本工</w:t>
      </w:r>
      <w:r>
        <w:rPr>
          <w:rFonts w:hint="eastAsia" w:ascii="宋体" w:hAnsi="宋体" w:eastAsia="宋体" w:cs="宋体"/>
          <w:color w:val="000000"/>
          <w:sz w:val="24"/>
          <w:szCs w:val="24"/>
          <w:highlight w:val="none"/>
        </w:rPr>
        <w:t xml:space="preserve">程的实际安全施工要求，编制本工程的实施性施工安全组织设计，报监理人和发包人批准。该施组包括(但不限于)施工安全保障体系，安全生产责任制，安全生产管理规章制度，安全防护施工方案，施工现场临时用电方案，施工安全评估，安全预控及保证措施方案、工地出入管理制度、环境卫生制度、防火制度，紧急应变措施，安全标识、警示和围护方案、周围及邻近环境保护规则等。对影响安全的重要工序和下列危险性较大的工程应编制专项施工方案，并附安全验算结果，经承包人技术负责人签字并报监理人和发包人批准后实施，由专职安全生产管理人员进行现场监督。</w:t>
      </w:r>
      <w:r>
        <w:rPr>
          <w:rFonts w:hint="eastAsia" w:ascii="宋体" w:hAnsi="宋体" w:eastAsia="宋体" w:cs="宋体"/>
          <w:color w:val="000000"/>
          <w:sz w:val="24"/>
          <w:szCs w:val="24"/>
          <w:highlight w:val="none"/>
        </w:rPr>
      </w:r>
      <w:r/>
    </w:p>
    <w:p>
      <w:pPr>
        <w:pStyle w:val="801"/>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对承包人按此采取的安全保护措施,发包人和监理人有权监督,并向承包人提出整改要求,对此承包人应遵照执行,并承担可能发生的一切费用。</w:t>
      </w:r>
      <w:r>
        <w:rPr>
          <w:rFonts w:hint="eastAsia" w:ascii="宋体" w:hAnsi="宋体" w:eastAsia="宋体" w:cs="宋体"/>
          <w:color w:val="000000"/>
          <w:sz w:val="24"/>
          <w:szCs w:val="24"/>
          <w:highlight w:val="none"/>
        </w:rPr>
      </w:r>
      <w:r/>
    </w:p>
    <w:p>
      <w:pPr>
        <w:pStyle w:val="801"/>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监理人和发包人在检查中发现有安全问题或有违反安全管理规章制度的情况时，可视其情节轻重，分别给予承包人通报批评、警告、责令停工等处罚。</w:t>
      </w:r>
      <w:r>
        <w:rPr>
          <w:rFonts w:hint="eastAsia" w:ascii="宋体" w:hAnsi="宋体" w:eastAsia="宋体" w:cs="宋体"/>
          <w:color w:val="000000"/>
          <w:sz w:val="24"/>
          <w:szCs w:val="24"/>
          <w:highlight w:val="none"/>
        </w:rPr>
      </w:r>
      <w:r/>
    </w:p>
    <w:p>
      <w:pPr>
        <w:pStyle w:val="801"/>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9.2.</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  承包人应对施工船舶、机械、设备、仪器等进行定期检查，消除隐患，并取得有关部门的检验许可证明。</w:t>
      </w:r>
      <w:r>
        <w:rPr>
          <w:rFonts w:hint="eastAsia" w:ascii="宋体" w:hAnsi="宋体" w:eastAsia="宋体" w:cs="宋体"/>
          <w:color w:val="000000"/>
          <w:sz w:val="24"/>
          <w:szCs w:val="24"/>
          <w:highlight w:val="none"/>
        </w:rPr>
      </w:r>
      <w:r/>
    </w:p>
    <w:p>
      <w:pPr>
        <w:pStyle w:val="801"/>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9.2.</w:t>
      </w: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 承包人应按有关要求，设置施工水域的警示标志和施工船舶夜间警示标志。</w:t>
      </w:r>
      <w:r>
        <w:rPr>
          <w:rFonts w:hint="eastAsia" w:ascii="宋体" w:hAnsi="宋体" w:eastAsia="宋体" w:cs="宋体"/>
          <w:color w:val="000000"/>
          <w:sz w:val="24"/>
          <w:szCs w:val="24"/>
          <w:highlight w:val="none"/>
        </w:rPr>
      </w:r>
      <w:r/>
    </w:p>
    <w:p>
      <w:pPr>
        <w:pStyle w:val="801"/>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9.2.1</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  承包人应对施工现场的供电、消防、基坑开挖、水下作业、爆破、不良工程地质以及施工通航等制定专项的措施及应急预案，并报监理人审查同意。发包人或监理人的认可不能免除承包人所应承担的责任。</w:t>
      </w:r>
      <w:r>
        <w:rPr>
          <w:rFonts w:hint="eastAsia" w:ascii="宋体" w:hAnsi="宋体" w:eastAsia="宋体" w:cs="宋体"/>
          <w:color w:val="000000"/>
          <w:sz w:val="24"/>
          <w:szCs w:val="24"/>
          <w:highlight w:val="none"/>
        </w:rPr>
      </w:r>
      <w:r/>
    </w:p>
    <w:p>
      <w:pPr>
        <w:pStyle w:val="801"/>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9.2.1</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  承包人应调查了解施工地点的水文、地质、气象及海潮等情况，负责本标段的防潮和防汛的工作。为执行本款要求而发生的费用均应认为已计入承包人的报价之中，发包人将不另行支付。凡因承包人采取措施不力而造成本标段的一切损失、工期拖延及施工费用的增加等均由承包人自行负责。</w:t>
      </w:r>
      <w:r>
        <w:rPr>
          <w:rFonts w:hint="eastAsia" w:ascii="宋体" w:hAnsi="宋体" w:eastAsia="宋体" w:cs="宋体"/>
          <w:color w:val="000000"/>
          <w:sz w:val="24"/>
          <w:szCs w:val="24"/>
          <w:highlight w:val="none"/>
        </w:rPr>
      </w:r>
      <w:r/>
    </w:p>
    <w:p>
      <w:pPr>
        <w:pStyle w:val="801"/>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9.2.1</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  为了保护本标段免遭损坏，或为了现场附近和过往群众的安全与方便，在确有必要的时候和地方，或当监理人或有关主管部门要求时，承包人应自费提供照明、警卫、护栅、警告标志等安全防护设施。</w:t>
      </w:r>
      <w:r>
        <w:rPr>
          <w:rFonts w:hint="eastAsia" w:ascii="宋体" w:hAnsi="宋体" w:eastAsia="宋体" w:cs="宋体"/>
          <w:color w:val="000000"/>
          <w:sz w:val="24"/>
          <w:szCs w:val="24"/>
          <w:highlight w:val="none"/>
        </w:rPr>
      </w:r>
      <w:r/>
    </w:p>
    <w:p>
      <w:pPr>
        <w:pStyle w:val="801"/>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9.2.1</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 承包人应与地方航政等相关主管部门取得联系，设置必要的导航标志，及时发布航行通告，确保施工水域安全。</w:t>
      </w:r>
      <w:r>
        <w:rPr>
          <w:rFonts w:hint="eastAsia" w:ascii="宋体" w:hAnsi="宋体" w:eastAsia="宋体" w:cs="宋体"/>
          <w:color w:val="000000"/>
          <w:sz w:val="24"/>
          <w:szCs w:val="24"/>
          <w:highlight w:val="none"/>
        </w:rPr>
      </w:r>
      <w:r/>
    </w:p>
    <w:p>
      <w:pPr>
        <w:pStyle w:val="801"/>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9.2.1</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  在整个施工过程中对承包人采取的施工安全措施，发包人和监理人有权监督，并向承包人提出整改要求。如果由于承包人未能对其负责的上述事项采取各种必要的措施而导致或发生与此有关的人身伤亡、罚款、索赔、损失补偿、诉讼费用及其他一切责任应由承包人负责。</w:t>
      </w:r>
      <w:r>
        <w:rPr>
          <w:rFonts w:hint="eastAsia" w:ascii="宋体" w:hAnsi="宋体" w:eastAsia="宋体" w:cs="宋体"/>
          <w:color w:val="000000"/>
          <w:sz w:val="24"/>
          <w:szCs w:val="24"/>
          <w:highlight w:val="none"/>
        </w:rPr>
      </w:r>
      <w:r/>
    </w:p>
    <w:p>
      <w:pPr>
        <w:pStyle w:val="801"/>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9.2.1</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  承包人应遵守《中华人民共和国安全生产法》及有关指导安全、健康与环保卫生方面的法规和规范，并应提供相应的安全设施和保护器材及采取其他有效安全措施，以保护现场施工和监理人员的生命、健康及安全，改善作业环境。</w:t>
      </w:r>
      <w:r>
        <w:rPr>
          <w:rFonts w:hint="eastAsia" w:ascii="宋体" w:hAnsi="宋体" w:eastAsia="宋体" w:cs="宋体"/>
          <w:color w:val="000000"/>
          <w:sz w:val="24"/>
          <w:szCs w:val="24"/>
          <w:highlight w:val="none"/>
        </w:rPr>
      </w:r>
      <w:r/>
    </w:p>
    <w:p>
      <w:pPr>
        <w:pStyle w:val="801"/>
        <w:ind w:left="0" w:right="0"/>
        <w:jc w:val="both"/>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9.4  环境保护</w:t>
      </w:r>
      <w:r>
        <w:rPr>
          <w:rFonts w:hint="eastAsia" w:ascii="宋体" w:hAnsi="宋体" w:eastAsia="宋体" w:cs="宋体"/>
          <w:b/>
          <w:bCs/>
          <w:color w:val="000000"/>
          <w:sz w:val="24"/>
          <w:szCs w:val="24"/>
          <w:highlight w:val="none"/>
        </w:rPr>
      </w:r>
      <w:r/>
    </w:p>
    <w:p>
      <w:pPr>
        <w:pStyle w:val="801"/>
        <w:ind w:left="0" w:right="0" w:firstLine="482"/>
        <w:jc w:val="both"/>
        <w:keepLines w:val="0"/>
        <w:keepNext w:val="0"/>
        <w:pageBreakBefore w:val="0"/>
        <w:spacing w:line="360" w:lineRule="auto"/>
        <w:widowControl w:val="off"/>
        <w:rPr>
          <w:rFonts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增加以下条款：</w:t>
      </w:r>
      <w:r>
        <w:rPr>
          <w:rFonts w:ascii="宋体" w:hAnsi="宋体" w:eastAsia="宋体" w:cs="宋体"/>
          <w:b/>
          <w:bCs/>
          <w:color w:val="000000"/>
          <w:sz w:val="24"/>
          <w:szCs w:val="24"/>
          <w:highlight w:val="none"/>
          <w:lang w:val="en-US" w:eastAsia="zh-CN"/>
        </w:rPr>
      </w:r>
      <w:r/>
    </w:p>
    <w:p>
      <w:pPr>
        <w:pStyle w:val="801"/>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9.4.7</w:t>
      </w:r>
      <w:r>
        <w:rPr>
          <w:rFonts w:hint="eastAsia" w:ascii="宋体" w:hAnsi="宋体" w:eastAsia="宋体" w:cs="宋体"/>
          <w:color w:val="000000"/>
          <w:sz w:val="24"/>
          <w:szCs w:val="24"/>
          <w:highlight w:val="none"/>
        </w:rPr>
        <w:t xml:space="preserve">承包人应严格执行国家有关水域环境生态保护的规定，合理选择施工船机和施工工艺，采取有效措施，减少施工对周边水域的影响。</w:t>
      </w:r>
      <w:r>
        <w:rPr>
          <w:rFonts w:hint="eastAsia" w:ascii="宋体" w:hAnsi="宋体" w:eastAsia="宋体" w:cs="宋体"/>
          <w:color w:val="000000"/>
          <w:sz w:val="24"/>
          <w:szCs w:val="24"/>
          <w:highlight w:val="none"/>
        </w:rPr>
      </w:r>
      <w:r/>
    </w:p>
    <w:p>
      <w:pPr>
        <w:pStyle w:val="801"/>
        <w:ind w:left="0" w:right="0" w:firstLine="480"/>
        <w:jc w:val="both"/>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9.4.8 在施工期间，承包人必须对已有工程设施无条件予以保护，不得因施工造成对已有工程的污染、破坏和损害，若发生污染、破坏和损害，一切责任（包括费用）均由承包人承担。</w:t>
      </w:r>
      <w:r>
        <w:rPr>
          <w:rFonts w:hint="eastAsia" w:ascii="宋体" w:hAnsi="宋体" w:eastAsia="宋体" w:cs="宋体"/>
          <w:bCs/>
          <w:color w:val="000000"/>
          <w:sz w:val="24"/>
          <w:szCs w:val="24"/>
          <w:highlight w:val="none"/>
        </w:rPr>
      </w:r>
      <w:r/>
    </w:p>
    <w:p>
      <w:pPr>
        <w:pStyle w:val="801"/>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9.4.9 </w:t>
      </w:r>
      <w:r>
        <w:rPr>
          <w:rFonts w:hint="eastAsia" w:ascii="宋体" w:hAnsi="宋体" w:eastAsia="宋体" w:cs="宋体"/>
          <w:color w:val="000000"/>
          <w:sz w:val="24"/>
          <w:szCs w:val="24"/>
          <w:highlight w:val="none"/>
        </w:rPr>
        <w:t xml:space="preserve">工程实施期间，承包人应做到文明施工，避免与地方群众发生纠纷，树立良好的企业形象，有关的标牌、标语等的设立应在确定设计方案报监理工程师批准后执行。</w:t>
      </w:r>
      <w:r>
        <w:rPr>
          <w:rFonts w:hint="eastAsia" w:ascii="宋体" w:hAnsi="宋体" w:eastAsia="宋体" w:cs="宋体"/>
          <w:color w:val="000000"/>
          <w:sz w:val="24"/>
          <w:szCs w:val="24"/>
          <w:highlight w:val="none"/>
        </w:rPr>
      </w:r>
      <w:r/>
    </w:p>
    <w:p>
      <w:pPr>
        <w:pStyle w:val="801"/>
        <w:ind w:left="0" w:right="0" w:firstLine="480"/>
        <w:jc w:val="both"/>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9.4.10 在施工期间，承包人必须</w:t>
      </w:r>
      <w:r>
        <w:rPr>
          <w:rFonts w:hint="eastAsia" w:ascii="宋体" w:hAnsi="宋体" w:eastAsia="宋体" w:cs="宋体"/>
          <w:color w:val="000000"/>
          <w:sz w:val="24"/>
          <w:szCs w:val="24"/>
          <w:highlight w:val="none"/>
        </w:rPr>
        <w:t xml:space="preserve">遵守国家或地方政府及有关部门对施工场地交通、施工噪音、环境保护和安全生产等管理规定，妥善保护好施工现场周围建筑物、设备管线、文物、古树名木不受损坏，并承担责任。</w:t>
      </w:r>
      <w:r>
        <w:rPr>
          <w:rFonts w:hint="eastAsia" w:ascii="宋体" w:hAnsi="宋体" w:eastAsia="宋体" w:cs="宋体"/>
          <w:bCs/>
          <w:color w:val="000000"/>
          <w:sz w:val="24"/>
          <w:szCs w:val="24"/>
          <w:highlight w:val="none"/>
        </w:rPr>
        <w:t xml:space="preserve">施工中未经发包人同意或有关部门批准，不得随意拆改原建筑物结构及各种设备、管线。</w:t>
      </w:r>
      <w:r>
        <w:rPr>
          <w:rFonts w:hint="eastAsia" w:ascii="宋体" w:hAnsi="宋体" w:eastAsia="宋体" w:cs="宋体"/>
          <w:bCs/>
          <w:color w:val="000000"/>
          <w:sz w:val="24"/>
          <w:szCs w:val="24"/>
          <w:highlight w:val="none"/>
        </w:rPr>
      </w:r>
      <w:r/>
    </w:p>
    <w:p>
      <w:pPr>
        <w:pStyle w:val="801"/>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9.4.11 在施工期间，承包人必须</w:t>
      </w:r>
      <w:r>
        <w:rPr>
          <w:rFonts w:hint="eastAsia" w:ascii="宋体" w:hAnsi="宋体" w:eastAsia="宋体" w:cs="宋体"/>
          <w:color w:val="000000"/>
          <w:sz w:val="24"/>
          <w:szCs w:val="24"/>
          <w:highlight w:val="none"/>
        </w:rPr>
        <w:t xml:space="preserve">对施工场地进行清理、架空各种线路和处理地下障碍等工作，使施工场地具备施工条件，并在开工后继续负责解决以上事项遗留问题；</w:t>
      </w:r>
      <w:r>
        <w:rPr>
          <w:rFonts w:hint="eastAsia" w:ascii="宋体" w:hAnsi="宋体" w:eastAsia="宋体" w:cs="宋体"/>
          <w:bCs/>
          <w:color w:val="000000"/>
          <w:sz w:val="24"/>
          <w:szCs w:val="24"/>
          <w:highlight w:val="none"/>
        </w:rPr>
        <w:t xml:space="preserve">做好施工现场垃圾清除等工作，施工垃圾必须运出施工现场，并不得污染环境，保证施工现场清洁达到业主、监理工程师满意程度，处理好由于施工带来的扰民问题及与周围单位(住户)的关系，涉及的相关费用施工单位自行承担，不单独计量。</w:t>
      </w:r>
      <w:r>
        <w:rPr>
          <w:rFonts w:hint="eastAsia" w:ascii="宋体" w:hAnsi="宋体" w:eastAsia="宋体" w:cs="宋体"/>
          <w:color w:val="000000"/>
          <w:sz w:val="24"/>
          <w:szCs w:val="24"/>
          <w:highlight w:val="none"/>
        </w:rPr>
      </w:r>
      <w:r/>
    </w:p>
    <w:p>
      <w:pPr>
        <w:pStyle w:val="801"/>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 w:val="0"/>
          <w:bCs/>
          <w:color w:val="000000"/>
          <w:sz w:val="24"/>
          <w:szCs w:val="24"/>
          <w:highlight w:val="none"/>
        </w:rPr>
        <w:t xml:space="preserve">9.4.12 </w:t>
      </w:r>
      <w:r>
        <w:rPr>
          <w:rFonts w:hint="eastAsia" w:ascii="宋体" w:hAnsi="宋体" w:eastAsia="宋体" w:cs="宋体"/>
          <w:b/>
          <w:color w:val="000000"/>
          <w:sz w:val="24"/>
          <w:szCs w:val="24"/>
          <w:highlight w:val="none"/>
        </w:rPr>
        <w:t xml:space="preserve">承包人在施工过程中应严格遵守《中华人民共和国大气污染防治法》、《江苏省大气污染防治条例》、</w:t>
      </w:r>
      <w:r>
        <w:rPr>
          <w:rFonts w:hint="eastAsia" w:ascii="宋体" w:hAnsi="宋体" w:eastAsia="宋体" w:cs="宋体"/>
          <w:b/>
          <w:bCs/>
          <w:color w:val="000000"/>
          <w:sz w:val="24"/>
          <w:szCs w:val="24"/>
          <w:highlight w:val="none"/>
        </w:rPr>
        <w:t xml:space="preserve">《江苏省公路水运工程工地扬尘污染防治行动方案》、《江苏省公路水运工程施工扬尘污染防治指导手册》</w:t>
      </w:r>
      <w:r>
        <w:rPr>
          <w:rFonts w:hint="eastAsia" w:ascii="宋体" w:hAnsi="宋体" w:eastAsia="宋体" w:cs="宋体"/>
          <w:b/>
          <w:color w:val="000000"/>
          <w:sz w:val="24"/>
          <w:szCs w:val="24"/>
          <w:highlight w:val="none"/>
        </w:rPr>
        <w:t xml:space="preserve">等相关规定，按照招标文件及发包人要求，在合同实施过程中制定扬尘污染防治实施方案并切实有效的开展相关工作，所需费用含在承包人所报的单价或总额价内，发包人不再单独计列。</w:t>
      </w:r>
      <w:r>
        <w:rPr>
          <w:rFonts w:hint="eastAsia" w:ascii="宋体" w:hAnsi="宋体" w:eastAsia="宋体" w:cs="宋体"/>
          <w:color w:val="000000"/>
          <w:sz w:val="24"/>
          <w:szCs w:val="24"/>
          <w:highlight w:val="none"/>
        </w:rPr>
      </w:r>
      <w:r/>
    </w:p>
    <w:p>
      <w:pPr>
        <w:pStyle w:val="801"/>
        <w:ind w:left="0" w:right="0"/>
        <w:jc w:val="both"/>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10  进度计划</w:t>
      </w:r>
      <w:r>
        <w:rPr>
          <w:rFonts w:hint="eastAsia" w:ascii="宋体" w:hAnsi="宋体" w:eastAsia="宋体" w:cs="宋体"/>
          <w:b/>
          <w:bCs/>
          <w:color w:val="000000"/>
          <w:sz w:val="24"/>
          <w:szCs w:val="24"/>
          <w:highlight w:val="none"/>
        </w:rPr>
      </w:r>
      <w:r/>
    </w:p>
    <w:p>
      <w:pPr>
        <w:pStyle w:val="801"/>
        <w:ind w:left="0" w:right="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10.1  合同进度计划</w:t>
      </w:r>
      <w:r>
        <w:rPr>
          <w:rFonts w:hint="eastAsia" w:ascii="宋体" w:hAnsi="宋体" w:eastAsia="宋体" w:cs="宋体"/>
          <w:color w:val="000000"/>
          <w:sz w:val="24"/>
          <w:szCs w:val="24"/>
          <w:highlight w:val="none"/>
        </w:rPr>
      </w:r>
      <w:r/>
    </w:p>
    <w:p>
      <w:pPr>
        <w:pStyle w:val="801"/>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10.1.1  承包人应在计划开工日期7天前，向发包人和监理人报送施工组织设计；监理人应在7天内批复或提出修改意见，否则视为得到批准。</w:t>
      </w:r>
      <w:r>
        <w:rPr>
          <w:rFonts w:hint="eastAsia" w:ascii="宋体" w:hAnsi="宋体" w:eastAsia="宋体" w:cs="宋体"/>
          <w:color w:val="000000"/>
          <w:sz w:val="24"/>
          <w:szCs w:val="24"/>
          <w:highlight w:val="none"/>
        </w:rPr>
      </w:r>
      <w:r/>
    </w:p>
    <w:p>
      <w:pPr>
        <w:pStyle w:val="801"/>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监理人提出修改意见后，承包人应认真修改后及时重新上报，直至监理人同意后生效。工程进度计划应按照关键线路网络图和主要工作横道图两种形式分别编绘，并应包括每月预计完成的工作量和形象进度。</w:t>
      </w:r>
      <w:r>
        <w:rPr>
          <w:rFonts w:hint="eastAsia" w:ascii="宋体" w:hAnsi="宋体" w:eastAsia="宋体" w:cs="宋体"/>
          <w:color w:val="000000"/>
          <w:sz w:val="24"/>
          <w:szCs w:val="24"/>
          <w:highlight w:val="none"/>
        </w:rPr>
      </w:r>
      <w:r/>
    </w:p>
    <w:p>
      <w:pPr>
        <w:pStyle w:val="801"/>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10.1.2  承包人应在每月末</w:t>
      </w:r>
      <w:r>
        <w:rPr>
          <w:rFonts w:hint="eastAsia" w:ascii="宋体" w:hAnsi="宋体" w:eastAsia="宋体" w:cs="宋体"/>
          <w:color w:val="000000"/>
          <w:sz w:val="24"/>
          <w:szCs w:val="24"/>
          <w:highlight w:val="none"/>
          <w:u w:val="single"/>
        </w:rPr>
        <w:t xml:space="preserve"> 25 </w:t>
      </w:r>
      <w:r>
        <w:rPr>
          <w:rFonts w:hint="eastAsia" w:ascii="宋体" w:hAnsi="宋体" w:eastAsia="宋体" w:cs="宋体"/>
          <w:color w:val="000000"/>
          <w:sz w:val="24"/>
          <w:szCs w:val="24"/>
          <w:highlight w:val="none"/>
        </w:rPr>
        <w:t xml:space="preserve">日前，向监理人报送下月计划一式</w:t>
      </w:r>
      <w:r>
        <w:rPr>
          <w:rFonts w:hint="eastAsia" w:ascii="宋体" w:hAnsi="宋体" w:eastAsia="宋体" w:cs="宋体"/>
          <w:color w:val="000000"/>
          <w:sz w:val="24"/>
          <w:szCs w:val="24"/>
          <w:highlight w:val="none"/>
          <w:u w:val="single"/>
        </w:rPr>
        <w:t xml:space="preserve"> 4 </w:t>
      </w:r>
      <w:r>
        <w:rPr>
          <w:rFonts w:hint="eastAsia" w:ascii="宋体" w:hAnsi="宋体" w:eastAsia="宋体" w:cs="宋体"/>
          <w:color w:val="000000"/>
          <w:sz w:val="24"/>
          <w:szCs w:val="24"/>
          <w:highlight w:val="none"/>
        </w:rPr>
        <w:t xml:space="preserve">份。如果承包人未能按上述的关键控制工期要求完成，发包人将按11.5款规定执行。</w:t>
      </w:r>
      <w:r>
        <w:rPr>
          <w:rFonts w:hint="eastAsia" w:ascii="宋体" w:hAnsi="宋体" w:eastAsia="宋体" w:cs="宋体"/>
          <w:color w:val="000000"/>
          <w:sz w:val="24"/>
          <w:szCs w:val="24"/>
          <w:highlight w:val="none"/>
        </w:rPr>
      </w:r>
      <w:r/>
    </w:p>
    <w:p>
      <w:pPr>
        <w:pStyle w:val="801"/>
        <w:ind w:left="0" w:right="0"/>
        <w:jc w:val="both"/>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10.2  合同进度计划的修订</w:t>
      </w:r>
      <w:r>
        <w:rPr>
          <w:rFonts w:hint="eastAsia" w:ascii="宋体" w:hAnsi="宋体" w:eastAsia="宋体" w:cs="宋体"/>
          <w:b/>
          <w:bCs/>
          <w:color w:val="000000"/>
          <w:sz w:val="24"/>
          <w:szCs w:val="24"/>
          <w:highlight w:val="none"/>
        </w:rPr>
      </w:r>
      <w:r/>
    </w:p>
    <w:p>
      <w:pPr>
        <w:pStyle w:val="801"/>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10.2.1  承包人应在48小时前向监理人提交修订合同进度计划的申请报告；监理人应在48小时内对承包人提交的申请报告批复，否则视为得到批准。</w:t>
      </w:r>
      <w:r>
        <w:rPr>
          <w:rFonts w:hint="eastAsia" w:ascii="宋体" w:hAnsi="宋体" w:eastAsia="宋体" w:cs="宋体"/>
          <w:color w:val="000000"/>
          <w:sz w:val="24"/>
          <w:szCs w:val="24"/>
          <w:highlight w:val="none"/>
        </w:rPr>
      </w:r>
      <w:r/>
    </w:p>
    <w:p>
      <w:pPr>
        <w:pStyle w:val="801"/>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10.2.2  对非承包人自身原因每月累计停水或停电不超过48小时的情况，施工组织设计中应有相应的保证措施。承包人不得因此顺延工期。</w:t>
      </w:r>
      <w:r>
        <w:rPr>
          <w:rFonts w:hint="eastAsia" w:ascii="宋体" w:hAnsi="宋体" w:eastAsia="宋体" w:cs="宋体"/>
          <w:color w:val="000000"/>
          <w:sz w:val="24"/>
          <w:szCs w:val="24"/>
          <w:highlight w:val="none"/>
        </w:rPr>
      </w:r>
      <w:r/>
    </w:p>
    <w:p>
      <w:pPr>
        <w:pStyle w:val="801"/>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10.2.3 </w:t>
      </w:r>
      <w:r>
        <w:rPr>
          <w:rFonts w:hint="eastAsia" w:ascii="宋体" w:hAnsi="宋体" w:eastAsia="宋体" w:cs="宋体"/>
          <w:color w:val="000000"/>
          <w:sz w:val="24"/>
          <w:szCs w:val="24"/>
          <w:highlight w:val="none"/>
        </w:rPr>
        <w:t xml:space="preserve">承包人应在确保合同工期的前提下，监理人可要求承包人每一个月提交一次工程进度修订计划，以确保工程在预定工期内竣工。在这种情况下，承包人应在接到监理人指令后的根据要求将修订后的进度计划提交给监理人。修改后的工程进度计划，仍应保证本标段在合同规定的工期内完成。</w:t>
      </w:r>
      <w:r>
        <w:rPr>
          <w:rFonts w:hint="eastAsia" w:ascii="宋体" w:hAnsi="宋体" w:eastAsia="宋体" w:cs="宋体"/>
          <w:color w:val="000000"/>
          <w:sz w:val="24"/>
          <w:szCs w:val="24"/>
          <w:highlight w:val="none"/>
        </w:rPr>
      </w:r>
      <w:r/>
    </w:p>
    <w:p>
      <w:pPr>
        <w:pStyle w:val="801"/>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10.2.4 </w:t>
      </w:r>
      <w:r>
        <w:rPr>
          <w:rFonts w:hint="eastAsia" w:ascii="宋体" w:hAnsi="宋体" w:eastAsia="宋体" w:cs="宋体"/>
          <w:color w:val="000000"/>
          <w:sz w:val="24"/>
          <w:szCs w:val="24"/>
          <w:highlight w:val="none"/>
        </w:rPr>
        <w:t xml:space="preserve">在合同总工期未变的前提下，发包人或监理人根据工程实际情况或他认为有必要的任何其它理由而对工程分阶段所进行的进度计划调整，承包人应无条件地服从，合同价格不予调整。</w:t>
      </w:r>
      <w:r>
        <w:rPr>
          <w:rFonts w:hint="eastAsia" w:ascii="宋体" w:hAnsi="宋体" w:eastAsia="宋体" w:cs="宋体"/>
          <w:color w:val="000000"/>
          <w:sz w:val="24"/>
          <w:szCs w:val="24"/>
          <w:highlight w:val="none"/>
        </w:rPr>
      </w:r>
      <w:r/>
    </w:p>
    <w:p>
      <w:pPr>
        <w:pStyle w:val="801"/>
        <w:ind w:left="0" w:right="0"/>
        <w:jc w:val="both"/>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11  开工和竣工</w:t>
      </w:r>
      <w:r>
        <w:rPr>
          <w:rFonts w:hint="eastAsia" w:ascii="宋体" w:hAnsi="宋体" w:eastAsia="宋体" w:cs="宋体"/>
          <w:b/>
          <w:bCs/>
          <w:color w:val="000000"/>
          <w:sz w:val="24"/>
          <w:szCs w:val="24"/>
          <w:highlight w:val="none"/>
        </w:rPr>
      </w:r>
      <w:r/>
    </w:p>
    <w:p>
      <w:pPr>
        <w:pStyle w:val="801"/>
        <w:ind w:left="0" w:right="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11.1  开工</w:t>
      </w:r>
      <w:r>
        <w:rPr>
          <w:rFonts w:hint="eastAsia" w:ascii="宋体" w:hAnsi="宋体" w:eastAsia="宋体" w:cs="宋体"/>
          <w:color w:val="000000"/>
          <w:sz w:val="24"/>
          <w:szCs w:val="24"/>
          <w:highlight w:val="none"/>
        </w:rPr>
      </w:r>
      <w:r/>
    </w:p>
    <w:p>
      <w:pPr>
        <w:pStyle w:val="801"/>
        <w:ind w:left="0" w:right="0" w:firstLine="482"/>
        <w:jc w:val="both"/>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增加以下条款：</w:t>
      </w:r>
      <w:r>
        <w:rPr>
          <w:rFonts w:hint="eastAsia" w:ascii="宋体" w:hAnsi="宋体" w:eastAsia="宋体" w:cs="宋体"/>
          <w:b/>
          <w:bCs/>
          <w:color w:val="000000"/>
          <w:sz w:val="24"/>
          <w:szCs w:val="24"/>
          <w:highlight w:val="none"/>
          <w:lang w:val="en-US" w:eastAsia="zh-CN"/>
        </w:rPr>
      </w:r>
      <w:r/>
    </w:p>
    <w:p>
      <w:pPr>
        <w:pStyle w:val="801"/>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11.1.3 分项工程的开工应事先得到监理人的书面同意，承包人应提前48小时将申请开工的书面通知报送监理人，监理人应在收到通知48小时内予以书面答复，否则视为同意。</w:t>
      </w:r>
      <w:r>
        <w:rPr>
          <w:rFonts w:hint="eastAsia" w:ascii="宋体" w:hAnsi="宋体" w:eastAsia="宋体" w:cs="宋体"/>
          <w:color w:val="000000"/>
          <w:sz w:val="24"/>
          <w:szCs w:val="24"/>
          <w:highlight w:val="none"/>
        </w:rPr>
      </w:r>
      <w:r/>
    </w:p>
    <w:p>
      <w:pPr>
        <w:pStyle w:val="801"/>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11.1.4 承包人不能按期开工时，应在接到开工令24小时内向监理人提出延期开工申请报告，监理人应在接到报告24小时内作出答复。若监理人在24小时内同意或未予以答复，工期相应顺延；若监理人不同意延期要求，则工期不予顺延。</w:t>
      </w:r>
      <w:r>
        <w:rPr>
          <w:rFonts w:hint="eastAsia" w:ascii="宋体" w:hAnsi="宋体" w:eastAsia="宋体" w:cs="宋体"/>
          <w:color w:val="000000"/>
          <w:sz w:val="24"/>
          <w:szCs w:val="24"/>
          <w:highlight w:val="none"/>
        </w:rPr>
      </w:r>
      <w:r/>
    </w:p>
    <w:p>
      <w:pPr>
        <w:pStyle w:val="801"/>
        <w:ind w:left="0" w:right="0"/>
        <w:jc w:val="both"/>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11.2  竣工</w:t>
      </w:r>
      <w:r>
        <w:rPr>
          <w:rFonts w:hint="eastAsia" w:ascii="宋体" w:hAnsi="宋体" w:eastAsia="宋体" w:cs="宋体"/>
          <w:b/>
          <w:bCs/>
          <w:color w:val="000000"/>
          <w:sz w:val="24"/>
          <w:szCs w:val="24"/>
          <w:highlight w:val="none"/>
        </w:rPr>
      </w:r>
      <w:r/>
    </w:p>
    <w:p>
      <w:pPr>
        <w:pStyle w:val="801"/>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11.2.1 重要节点工期：</w:t>
      </w:r>
      <w:r>
        <w:rPr>
          <w:rFonts w:hint="eastAsia" w:ascii="宋体" w:hAnsi="宋体" w:eastAsia="宋体" w:cs="宋体"/>
          <w:color w:val="000000"/>
          <w:sz w:val="24"/>
          <w:szCs w:val="24"/>
          <w:highlight w:val="none"/>
          <w:u w:val="single"/>
        </w:rPr>
        <w:t xml:space="preserve">按照监理审批的工程进度计划进行施工。</w:t>
      </w:r>
      <w:r>
        <w:rPr>
          <w:rFonts w:hint="eastAsia" w:ascii="宋体" w:hAnsi="宋体" w:eastAsia="宋体" w:cs="宋体"/>
          <w:color w:val="000000"/>
          <w:sz w:val="24"/>
          <w:szCs w:val="24"/>
          <w:highlight w:val="none"/>
          <w:u w:val="single"/>
        </w:rPr>
      </w:r>
      <w:r/>
    </w:p>
    <w:p>
      <w:pPr>
        <w:pStyle w:val="801"/>
        <w:ind w:left="0" w:right="0" w:firstLine="480"/>
        <w:jc w:val="both"/>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11.2.2 工程竣工验收后，若在缺陷责任期内出现质量问题，所发生的维修费用从相关责任单位的经费（含发包人拨付的其他方面经费）中扣除（无论成本是否超出质保金范围），出现重大质量问题或有重大违法乱纪行为的，按照质量管理办法和有关法律法规规定移交司法机关予以处罚。</w:t>
      </w:r>
      <w:r>
        <w:rPr>
          <w:rFonts w:hint="eastAsia" w:ascii="宋体" w:hAnsi="宋体" w:eastAsia="宋体" w:cs="宋体"/>
          <w:bCs/>
          <w:color w:val="000000"/>
          <w:sz w:val="24"/>
          <w:szCs w:val="24"/>
          <w:highlight w:val="none"/>
        </w:rPr>
      </w:r>
      <w:r/>
    </w:p>
    <w:p>
      <w:pPr>
        <w:pStyle w:val="801"/>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11.2.3 承包人未按要求提交竣工资料时，发包人有权在支付中扣除合同结算价的1%。</w:t>
      </w:r>
      <w:r>
        <w:rPr>
          <w:rFonts w:hint="eastAsia" w:ascii="宋体" w:hAnsi="宋体" w:eastAsia="宋体" w:cs="宋体"/>
          <w:color w:val="000000"/>
          <w:sz w:val="24"/>
          <w:szCs w:val="24"/>
          <w:highlight w:val="none"/>
        </w:rPr>
      </w:r>
      <w:r/>
    </w:p>
    <w:p>
      <w:pPr>
        <w:pStyle w:val="801"/>
        <w:ind w:left="0" w:right="0"/>
        <w:jc w:val="both"/>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11.4  异常恶劣的气候条件</w:t>
      </w:r>
      <w:r>
        <w:rPr>
          <w:rFonts w:hint="eastAsia" w:ascii="宋体" w:hAnsi="宋体" w:eastAsia="宋体" w:cs="宋体"/>
          <w:b/>
          <w:bCs/>
          <w:color w:val="000000"/>
          <w:sz w:val="24"/>
          <w:szCs w:val="24"/>
          <w:highlight w:val="none"/>
        </w:rPr>
      </w:r>
      <w:r/>
    </w:p>
    <w:p>
      <w:pPr>
        <w:pStyle w:val="801"/>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11.4.1  异常恶劣的气候条件是指水运工程水域施工作业难以正常进行或须采取其他补救措施才能进行的气候条件。一般是指：</w:t>
      </w:r>
      <w:r>
        <w:rPr>
          <w:rFonts w:hint="eastAsia" w:ascii="宋体" w:hAnsi="宋体" w:eastAsia="宋体" w:cs="宋体"/>
          <w:color w:val="000000"/>
          <w:sz w:val="24"/>
          <w:szCs w:val="24"/>
          <w:highlight w:val="none"/>
        </w:rPr>
      </w:r>
      <w:r/>
    </w:p>
    <w:p>
      <w:pPr>
        <w:pStyle w:val="801"/>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⑴持续高温：连续三日日最高气温38度以上；</w:t>
      </w:r>
      <w:r>
        <w:rPr>
          <w:rFonts w:hint="eastAsia" w:ascii="宋体" w:hAnsi="宋体" w:eastAsia="宋体" w:cs="宋体"/>
          <w:color w:val="000000"/>
          <w:sz w:val="24"/>
          <w:szCs w:val="24"/>
          <w:highlight w:val="none"/>
        </w:rPr>
      </w:r>
      <w:r/>
    </w:p>
    <w:p>
      <w:pPr>
        <w:pStyle w:val="801"/>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⑵持续低温：连续三日日最低气温-20度以下；</w:t>
      </w:r>
      <w:r>
        <w:rPr>
          <w:rFonts w:hint="eastAsia" w:ascii="宋体" w:hAnsi="宋体" w:eastAsia="宋体" w:cs="宋体"/>
          <w:color w:val="000000"/>
          <w:sz w:val="24"/>
          <w:szCs w:val="24"/>
          <w:highlight w:val="none"/>
        </w:rPr>
      </w:r>
      <w:r/>
    </w:p>
    <w:p>
      <w:pPr>
        <w:pStyle w:val="801"/>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⑶大风天气：施工水域日风力在6级以上且持续时间不少于4小时，或阵风大于8级；</w:t>
      </w:r>
      <w:r>
        <w:rPr>
          <w:rFonts w:hint="eastAsia" w:ascii="宋体" w:hAnsi="宋体" w:eastAsia="宋体" w:cs="宋体"/>
          <w:color w:val="000000"/>
          <w:sz w:val="24"/>
          <w:szCs w:val="24"/>
          <w:highlight w:val="none"/>
        </w:rPr>
      </w:r>
      <w:r/>
    </w:p>
    <w:p>
      <w:pPr>
        <w:pStyle w:val="801"/>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⑷暴雨天气：日降雨量50mm及以上，或降雨强度大于20mm/h；</w:t>
      </w:r>
      <w:r>
        <w:rPr>
          <w:rFonts w:hint="eastAsia" w:ascii="宋体" w:hAnsi="宋体" w:eastAsia="宋体" w:cs="宋体"/>
          <w:color w:val="000000"/>
          <w:sz w:val="24"/>
          <w:szCs w:val="24"/>
          <w:highlight w:val="none"/>
        </w:rPr>
      </w:r>
      <w:r/>
    </w:p>
    <w:p>
      <w:pPr>
        <w:pStyle w:val="801"/>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⑸暴雪天气：日降雪量10mm及以上；</w:t>
      </w:r>
      <w:r>
        <w:rPr>
          <w:rFonts w:hint="eastAsia" w:ascii="宋体" w:hAnsi="宋体" w:eastAsia="宋体" w:cs="宋体"/>
          <w:color w:val="000000"/>
          <w:sz w:val="24"/>
          <w:szCs w:val="24"/>
          <w:highlight w:val="none"/>
        </w:rPr>
      </w:r>
      <w:r/>
    </w:p>
    <w:p>
      <w:pPr>
        <w:pStyle w:val="801"/>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⑹流速或波浪：内河3.5米/秒及以上流速，海上2米及以上的大浪和强浪；</w:t>
      </w:r>
      <w:r>
        <w:rPr>
          <w:rFonts w:hint="eastAsia" w:ascii="宋体" w:hAnsi="宋体" w:eastAsia="宋体" w:cs="宋体"/>
          <w:color w:val="000000"/>
          <w:sz w:val="24"/>
          <w:szCs w:val="24"/>
          <w:highlight w:val="none"/>
        </w:rPr>
      </w:r>
      <w:r/>
    </w:p>
    <w:p>
      <w:pPr>
        <w:pStyle w:val="801"/>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⑺水淹：施工场地大部分或全部被潮水、洪水或雨水淹没超过1天；</w:t>
      </w:r>
      <w:r>
        <w:rPr>
          <w:rFonts w:hint="eastAsia" w:ascii="宋体" w:hAnsi="宋体" w:eastAsia="宋体" w:cs="宋体"/>
          <w:color w:val="000000"/>
          <w:sz w:val="24"/>
          <w:szCs w:val="24"/>
          <w:highlight w:val="none"/>
        </w:rPr>
      </w:r>
      <w:r/>
    </w:p>
    <w:p>
      <w:pPr>
        <w:pStyle w:val="801"/>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⑻大雾：定点施工船舶能见度小于50米的雾天超过1天；运动船舶按有关规定。</w:t>
      </w:r>
      <w:r>
        <w:rPr>
          <w:rFonts w:hint="eastAsia" w:ascii="宋体" w:hAnsi="宋体" w:eastAsia="宋体" w:cs="宋体"/>
          <w:color w:val="000000"/>
          <w:sz w:val="24"/>
          <w:szCs w:val="24"/>
          <w:highlight w:val="none"/>
        </w:rPr>
      </w:r>
      <w:r/>
    </w:p>
    <w:p>
      <w:pPr>
        <w:pStyle w:val="801"/>
        <w:ind w:left="0" w:right="0"/>
        <w:jc w:val="both"/>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11.5  承包人的工期延误</w:t>
      </w:r>
      <w:r>
        <w:rPr>
          <w:rFonts w:hint="eastAsia" w:ascii="宋体" w:hAnsi="宋体" w:eastAsia="宋体" w:cs="宋体"/>
          <w:b/>
          <w:bCs/>
          <w:color w:val="000000"/>
          <w:sz w:val="24"/>
          <w:szCs w:val="24"/>
          <w:highlight w:val="none"/>
        </w:rPr>
      </w:r>
      <w:r/>
    </w:p>
    <w:p>
      <w:pPr>
        <w:pStyle w:val="801"/>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⑴承包人应严格执行监理人批准的合同进度计划，对工作量计划和形象进度计划分别控制。除11.3款规定外，承包人的实际工程进度曲线应在合同进度管理曲线规定的安全区域之内。若承包人的实际工程进度曲线处在合同进度管理曲线规定的安全区域的下限之外时，则监理人有权认为本标段的进度过慢，并通知承包人应采取必要措施，以便加快工程进度，确保工程能在预定的工期内竣工。承包人应采取措施加快进度，并承担加快进度所增加的费用。</w:t>
      </w:r>
      <w:r>
        <w:rPr>
          <w:rFonts w:hint="eastAsia" w:ascii="宋体" w:hAnsi="宋体" w:eastAsia="宋体" w:cs="宋体"/>
          <w:color w:val="000000"/>
          <w:sz w:val="24"/>
          <w:szCs w:val="24"/>
          <w:highlight w:val="none"/>
        </w:rPr>
      </w:r>
      <w:r/>
    </w:p>
    <w:p>
      <w:pPr>
        <w:pStyle w:val="801"/>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⑵如果承包人在接到监理人通知后的14天内，未能采取加快工程进度的措施，致使实际工程进度进一步滞后，或承包人虽采取了一些措施，仍无法按预计工期竣工时，监理人应立即通知发包人。发包人在向承包人发出书面警告通知14天后，发包人可按22.1款终止对承包人的雇用，也可将本标段中的一部分工作交由其他承包人或特殊分包人完成。在不解除本合同规定的承包人责任和义务的同时，承包人应承担因此所增加的一切费用。</w:t>
      </w:r>
      <w:r>
        <w:rPr>
          <w:rFonts w:hint="eastAsia" w:ascii="宋体" w:hAnsi="宋体" w:eastAsia="宋体" w:cs="宋体"/>
          <w:color w:val="000000"/>
          <w:sz w:val="24"/>
          <w:szCs w:val="24"/>
          <w:highlight w:val="none"/>
        </w:rPr>
      </w:r>
      <w:r/>
    </w:p>
    <w:p>
      <w:pPr>
        <w:pStyle w:val="801"/>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⑶由于承包人原因造成工期延误，承包人应支付逾期竣工违约金。 发包人将对承包人处以</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000元/天的逾期竣工违约金，逾期竣工违约金限额为签约合同价格的5％。时间自预定的竣工日期起到工程接收证书中写明的实际竣工日期止(扣除已批准的延长工期)，按天计算。发包人可以从应付或到期应付给承包人的任何款项中或采用其他方法扣除此违约金。</w:t>
      </w:r>
      <w:r>
        <w:rPr>
          <w:rFonts w:hint="eastAsia" w:ascii="宋体" w:hAnsi="宋体" w:eastAsia="宋体" w:cs="宋体"/>
          <w:color w:val="000000"/>
          <w:sz w:val="24"/>
          <w:szCs w:val="24"/>
          <w:highlight w:val="none"/>
        </w:rPr>
      </w:r>
      <w:r/>
    </w:p>
    <w:p>
      <w:pPr>
        <w:pStyle w:val="801"/>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⑷承包人支付逾期竣工违约金，不免除承包人完成工程及修补缺陷的义务。</w:t>
      </w:r>
      <w:r>
        <w:rPr>
          <w:rFonts w:hint="eastAsia" w:ascii="宋体" w:hAnsi="宋体" w:eastAsia="宋体" w:cs="宋体"/>
          <w:color w:val="000000"/>
          <w:sz w:val="24"/>
          <w:szCs w:val="24"/>
          <w:highlight w:val="none"/>
        </w:rPr>
      </w:r>
      <w:r/>
    </w:p>
    <w:p>
      <w:pPr>
        <w:pStyle w:val="801"/>
        <w:ind w:left="0" w:right="0" w:firstLine="480"/>
        <w:jc w:val="both"/>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 xml:space="preserve">⑸如果在合同工程完成之前，已对合同工程内按时完成的单位工程签发了工程接收证书，则合同工程的逾期竣工违约金，应按已签发工程接收证书的单位工程的价值占合同工程价值的比例予以减少，但本规定不应影响逾期竣工违约金的规定限额 。</w:t>
      </w:r>
      <w:r>
        <w:rPr>
          <w:rFonts w:hint="eastAsia" w:ascii="宋体" w:hAnsi="宋体" w:eastAsia="宋体" w:cs="宋体"/>
          <w:b/>
          <w:bCs/>
          <w:color w:val="000000"/>
          <w:sz w:val="24"/>
          <w:szCs w:val="24"/>
          <w:highlight w:val="none"/>
        </w:rPr>
      </w:r>
      <w:r/>
    </w:p>
    <w:p>
      <w:pPr>
        <w:pStyle w:val="801"/>
        <w:numPr>
          <w:ilvl w:val="0"/>
          <w:numId w:val="0"/>
        </w:numPr>
        <w:ind w:right="0"/>
        <w:jc w:val="both"/>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11.6  </w:t>
      </w:r>
      <w:r>
        <w:rPr>
          <w:rFonts w:hint="eastAsia" w:ascii="宋体" w:hAnsi="宋体" w:eastAsia="宋体" w:cs="宋体"/>
          <w:b/>
          <w:bCs/>
          <w:color w:val="000000"/>
          <w:sz w:val="24"/>
          <w:szCs w:val="24"/>
          <w:highlight w:val="none"/>
        </w:rPr>
        <w:t xml:space="preserve">工期提前</w:t>
      </w:r>
      <w:r>
        <w:rPr>
          <w:rFonts w:hint="eastAsia" w:ascii="宋体" w:hAnsi="宋体" w:eastAsia="宋体" w:cs="宋体"/>
          <w:b/>
          <w:bCs/>
          <w:color w:val="000000"/>
          <w:sz w:val="24"/>
          <w:szCs w:val="24"/>
          <w:highlight w:val="none"/>
        </w:rPr>
      </w:r>
      <w:r/>
    </w:p>
    <w:p>
      <w:pPr>
        <w:pStyle w:val="801"/>
        <w:ind w:left="0" w:right="0" w:firstLine="480"/>
        <w:jc w:val="both"/>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本款不适用。</w:t>
      </w:r>
      <w:r>
        <w:rPr>
          <w:rFonts w:hint="eastAsia" w:ascii="宋体" w:hAnsi="宋体" w:eastAsia="宋体" w:cs="宋体"/>
          <w:bCs/>
          <w:color w:val="000000"/>
          <w:sz w:val="24"/>
          <w:szCs w:val="24"/>
          <w:highlight w:val="none"/>
        </w:rPr>
      </w:r>
      <w:r/>
    </w:p>
    <w:p>
      <w:pPr>
        <w:pStyle w:val="801"/>
        <w:numPr>
          <w:ilvl w:val="0"/>
          <w:numId w:val="0"/>
        </w:numPr>
        <w:ind w:left="0" w:right="0" w:firstLine="0"/>
        <w:jc w:val="both"/>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12  </w:t>
      </w:r>
      <w:r>
        <w:rPr>
          <w:rFonts w:hint="eastAsia" w:ascii="宋体" w:hAnsi="宋体" w:eastAsia="宋体" w:cs="宋体"/>
          <w:b/>
          <w:bCs/>
          <w:color w:val="000000"/>
          <w:sz w:val="24"/>
          <w:szCs w:val="24"/>
          <w:highlight w:val="none"/>
        </w:rPr>
        <w:t xml:space="preserve">暂停施工</w:t>
      </w:r>
      <w:r>
        <w:rPr>
          <w:rFonts w:hint="eastAsia" w:ascii="宋体" w:hAnsi="宋体" w:eastAsia="宋体" w:cs="宋体"/>
          <w:b/>
          <w:bCs/>
          <w:color w:val="000000"/>
          <w:sz w:val="24"/>
          <w:szCs w:val="24"/>
          <w:highlight w:val="none"/>
        </w:rPr>
      </w:r>
      <w:r/>
    </w:p>
    <w:p>
      <w:pPr>
        <w:pStyle w:val="801"/>
        <w:numPr>
          <w:ilvl w:val="0"/>
          <w:numId w:val="0"/>
        </w:numPr>
        <w:ind w:right="0"/>
        <w:jc w:val="both"/>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12.1  </w:t>
      </w:r>
      <w:r>
        <w:rPr>
          <w:rFonts w:hint="eastAsia" w:ascii="宋体" w:hAnsi="宋体" w:eastAsia="宋体" w:cs="宋体"/>
          <w:b/>
          <w:bCs/>
          <w:color w:val="000000"/>
          <w:sz w:val="24"/>
          <w:szCs w:val="24"/>
          <w:highlight w:val="none"/>
        </w:rPr>
        <w:t xml:space="preserve">承包人暂停施工的责任</w:t>
      </w:r>
      <w:r>
        <w:rPr>
          <w:rFonts w:hint="eastAsia" w:ascii="宋体" w:hAnsi="宋体" w:eastAsia="宋体" w:cs="宋体"/>
          <w:b/>
          <w:bCs/>
          <w:color w:val="000000"/>
          <w:sz w:val="24"/>
          <w:szCs w:val="24"/>
          <w:highlight w:val="none"/>
        </w:rPr>
      </w:r>
      <w:r/>
    </w:p>
    <w:p>
      <w:pPr>
        <w:pStyle w:val="801"/>
        <w:ind w:left="0" w:right="0" w:firstLine="482"/>
        <w:jc w:val="both"/>
        <w:keepLines w:val="0"/>
        <w:keepNext w:val="0"/>
        <w:pageBreakBefore w:val="0"/>
        <w:spacing w:line="360" w:lineRule="auto"/>
        <w:widowControl w:val="off"/>
        <w:tabs>
          <w:tab w:val="left" w:pos="720" w:leader="none"/>
        </w:tabs>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lang w:val="en-US" w:eastAsia="zh-CN"/>
        </w:rPr>
        <w:t xml:space="preserve">按照通用合同条款条款执行，专用条款不另行约定</w:t>
      </w:r>
      <w:r>
        <w:rPr>
          <w:rFonts w:hint="eastAsia" w:ascii="宋体" w:hAnsi="宋体" w:eastAsia="宋体" w:cs="宋体"/>
          <w:b/>
          <w:bCs/>
          <w:color w:val="000000"/>
          <w:sz w:val="24"/>
          <w:szCs w:val="24"/>
          <w:highlight w:val="none"/>
        </w:rPr>
        <w:t xml:space="preserve">。</w:t>
      </w:r>
      <w:r>
        <w:rPr>
          <w:rFonts w:hint="eastAsia" w:ascii="宋体" w:hAnsi="宋体" w:eastAsia="宋体" w:cs="宋体"/>
          <w:color w:val="000000"/>
          <w:sz w:val="24"/>
          <w:szCs w:val="24"/>
          <w:highlight w:val="none"/>
        </w:rPr>
      </w:r>
      <w:r/>
    </w:p>
    <w:p>
      <w:pPr>
        <w:pStyle w:val="801"/>
        <w:ind w:left="0" w:right="0" w:firstLine="0"/>
        <w:jc w:val="both"/>
        <w:keepLines w:val="0"/>
        <w:keepNext w:val="0"/>
        <w:pageBreakBefore w:val="0"/>
        <w:spacing w:line="360" w:lineRule="auto"/>
        <w:widowControl w:val="off"/>
        <w:tabs>
          <w:tab w:val="left" w:pos="720"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13  工程质量</w:t>
      </w:r>
      <w:r>
        <w:rPr>
          <w:rFonts w:hint="eastAsia" w:ascii="宋体" w:hAnsi="宋体" w:eastAsia="宋体" w:cs="宋体"/>
          <w:b/>
          <w:bCs/>
          <w:color w:val="000000"/>
          <w:sz w:val="24"/>
          <w:szCs w:val="24"/>
          <w:highlight w:val="none"/>
        </w:rPr>
      </w:r>
      <w:r/>
    </w:p>
    <w:p>
      <w:pPr>
        <w:pStyle w:val="801"/>
        <w:ind w:left="0" w:right="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13.1  工程质量要求</w:t>
      </w:r>
      <w:r>
        <w:rPr>
          <w:rFonts w:hint="eastAsia" w:ascii="宋体" w:hAnsi="宋体" w:eastAsia="宋体" w:cs="宋体"/>
          <w:color w:val="000000"/>
          <w:sz w:val="24"/>
          <w:szCs w:val="24"/>
          <w:highlight w:val="none"/>
        </w:rPr>
      </w:r>
      <w:r/>
    </w:p>
    <w:p>
      <w:pPr>
        <w:pStyle w:val="801"/>
        <w:ind w:left="0" w:right="0" w:firstLine="482"/>
        <w:jc w:val="both"/>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增加以下条款：</w:t>
      </w:r>
      <w:r>
        <w:rPr>
          <w:rFonts w:hint="eastAsia" w:ascii="宋体" w:hAnsi="宋体" w:eastAsia="宋体" w:cs="宋体"/>
          <w:b/>
          <w:bCs/>
          <w:color w:val="000000"/>
          <w:sz w:val="24"/>
          <w:szCs w:val="24"/>
          <w:highlight w:val="none"/>
          <w:lang w:val="en-US" w:eastAsia="zh-CN"/>
        </w:rPr>
      </w:r>
      <w:r/>
    </w:p>
    <w:p>
      <w:pPr>
        <w:pStyle w:val="801"/>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13.1.4 质量标准</w:t>
      </w:r>
      <w:r>
        <w:rPr>
          <w:rFonts w:hint="eastAsia" w:ascii="宋体" w:hAnsi="宋体" w:eastAsia="宋体" w:cs="宋体"/>
          <w:color w:val="000000"/>
          <w:sz w:val="24"/>
          <w:szCs w:val="24"/>
          <w:highlight w:val="none"/>
        </w:rPr>
      </w:r>
      <w:r/>
    </w:p>
    <w:p>
      <w:pPr>
        <w:pStyle w:val="801"/>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⑴现行水运工程质量检验标准；</w:t>
      </w:r>
      <w:r>
        <w:rPr>
          <w:rFonts w:hint="eastAsia" w:ascii="宋体" w:hAnsi="宋体" w:eastAsia="宋体" w:cs="宋体"/>
          <w:color w:val="000000"/>
          <w:sz w:val="24"/>
          <w:szCs w:val="24"/>
          <w:highlight w:val="none"/>
        </w:rPr>
      </w:r>
      <w:r/>
    </w:p>
    <w:p>
      <w:pPr>
        <w:pStyle w:val="801"/>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⑵其他现行工程质量检验标准；</w:t>
      </w:r>
      <w:r>
        <w:rPr>
          <w:rFonts w:hint="eastAsia" w:ascii="宋体" w:hAnsi="宋体" w:eastAsia="宋体" w:cs="宋体"/>
          <w:color w:val="000000"/>
          <w:sz w:val="24"/>
          <w:szCs w:val="24"/>
          <w:highlight w:val="none"/>
        </w:rPr>
      </w:r>
      <w:r/>
    </w:p>
    <w:p>
      <w:pPr>
        <w:pStyle w:val="801"/>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⑶以上标准如有修订，按新修订的标准执行。</w:t>
      </w:r>
      <w:r>
        <w:rPr>
          <w:rFonts w:hint="eastAsia" w:ascii="宋体" w:hAnsi="宋体" w:eastAsia="宋体" w:cs="宋体"/>
          <w:color w:val="000000"/>
          <w:sz w:val="24"/>
          <w:szCs w:val="24"/>
          <w:highlight w:val="none"/>
        </w:rPr>
      </w:r>
      <w:r/>
    </w:p>
    <w:p>
      <w:pPr>
        <w:pStyle w:val="801"/>
        <w:ind w:left="0" w:right="0" w:firstLine="480"/>
        <w:jc w:val="both"/>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13.1.5 质量目标</w:t>
      </w:r>
      <w:r>
        <w:rPr>
          <w:rFonts w:hint="eastAsia" w:ascii="宋体" w:hAnsi="宋体" w:eastAsia="宋体" w:cs="宋体"/>
          <w:bCs/>
          <w:color w:val="000000"/>
          <w:sz w:val="24"/>
          <w:szCs w:val="24"/>
          <w:highlight w:val="none"/>
        </w:rPr>
      </w:r>
      <w:r/>
    </w:p>
    <w:p>
      <w:pPr>
        <w:pStyle w:val="801"/>
        <w:ind w:left="0" w:right="0" w:firstLine="480"/>
        <w:jc w:val="both"/>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本工程质量目标：标段工程竣工验收的质量评定：合格，综合评定：优良。</w:t>
      </w:r>
      <w:r>
        <w:rPr>
          <w:rFonts w:hint="eastAsia" w:ascii="宋体" w:hAnsi="宋体" w:eastAsia="宋体" w:cs="宋体"/>
          <w:bCs/>
          <w:color w:val="000000"/>
          <w:sz w:val="24"/>
          <w:szCs w:val="24"/>
          <w:highlight w:val="none"/>
        </w:rPr>
      </w:r>
      <w:r/>
    </w:p>
    <w:p>
      <w:pPr>
        <w:pStyle w:val="801"/>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13.1.6 发包人是按照江苏省交通运输行业的规定和</w:t>
      </w:r>
      <w:r>
        <w:rPr>
          <w:rFonts w:hint="eastAsia" w:ascii="宋体" w:hAnsi="宋体" w:eastAsia="宋体" w:cs="宋体"/>
          <w:color w:val="000000"/>
          <w:sz w:val="24"/>
          <w:szCs w:val="24"/>
          <w:highlight w:val="none"/>
        </w:rPr>
        <w:t xml:space="preserve">江苏省交通运输综合行政执法监督局</w:t>
      </w:r>
      <w:r>
        <w:rPr>
          <w:rFonts w:hint="eastAsia" w:ascii="宋体" w:hAnsi="宋体" w:eastAsia="宋体" w:cs="宋体"/>
          <w:bCs/>
          <w:color w:val="000000"/>
          <w:sz w:val="24"/>
          <w:szCs w:val="24"/>
          <w:highlight w:val="none"/>
        </w:rPr>
        <w:t xml:space="preserve">的考核要求，对本工程项目进行管理和考核。发包人将该工程项目实施情况反映到履约考核中。</w:t>
      </w:r>
      <w:r>
        <w:rPr>
          <w:rFonts w:hint="eastAsia" w:ascii="宋体" w:hAnsi="宋体" w:eastAsia="宋体" w:cs="宋体"/>
          <w:color w:val="000000"/>
          <w:sz w:val="24"/>
          <w:szCs w:val="24"/>
          <w:highlight w:val="none"/>
        </w:rPr>
      </w:r>
      <w:r/>
    </w:p>
    <w:p>
      <w:pPr>
        <w:pStyle w:val="801"/>
        <w:ind w:left="0" w:right="0"/>
        <w:jc w:val="both"/>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13.2  承包人的质量管理</w:t>
      </w:r>
      <w:r>
        <w:rPr>
          <w:rFonts w:hint="eastAsia" w:ascii="宋体" w:hAnsi="宋体" w:eastAsia="宋体" w:cs="宋体"/>
          <w:b/>
          <w:bCs/>
          <w:color w:val="000000"/>
          <w:sz w:val="24"/>
          <w:szCs w:val="24"/>
          <w:highlight w:val="none"/>
        </w:rPr>
      </w:r>
      <w:r/>
    </w:p>
    <w:p>
      <w:pPr>
        <w:pStyle w:val="801"/>
        <w:ind w:left="0" w:right="0" w:firstLine="482"/>
        <w:jc w:val="both"/>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增加以下条款：</w:t>
      </w:r>
      <w:r>
        <w:rPr>
          <w:rFonts w:hint="eastAsia" w:ascii="宋体" w:hAnsi="宋体" w:eastAsia="宋体" w:cs="宋体"/>
          <w:b/>
          <w:bCs/>
          <w:color w:val="000000"/>
          <w:sz w:val="24"/>
          <w:szCs w:val="24"/>
          <w:highlight w:val="none"/>
          <w:lang w:val="en-US" w:eastAsia="zh-CN"/>
        </w:rPr>
      </w:r>
      <w:r/>
    </w:p>
    <w:p>
      <w:pPr>
        <w:pStyle w:val="801"/>
        <w:ind w:left="0" w:right="0" w:firstLine="480"/>
        <w:jc w:val="both"/>
        <w:keepLines w:val="0"/>
        <w:keepNext w:val="0"/>
        <w:pageBreakBefore w:val="0"/>
        <w:spacing w:line="360"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rPr>
        <w:t xml:space="preserve">13.2.</w:t>
      </w: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rPr>
        <w:t xml:space="preserve">  承包人提交工程质量保证措施文件的期限：签订合同议书后28天之内</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eastAsia="zh-CN"/>
        </w:rPr>
      </w:r>
      <w:r/>
    </w:p>
    <w:p>
      <w:pPr>
        <w:pStyle w:val="801"/>
        <w:ind w:left="0" w:right="0" w:firstLine="480"/>
        <w:jc w:val="both"/>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13.2.</w:t>
      </w:r>
      <w:r>
        <w:rPr>
          <w:rFonts w:hint="eastAsia" w:ascii="宋体" w:hAnsi="宋体" w:eastAsia="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rPr>
        <w:t xml:space="preserve"> 建立质量责任制。分项施工的现场应实行标示牌管理，写明作业内容和质量要求，要认真执行三检制度，即：自检、互检、工序交接检验制度，要根据合同的规定切实作好隐蔽工程的检查工作。</w:t>
      </w:r>
      <w:r>
        <w:rPr>
          <w:rFonts w:hint="eastAsia" w:ascii="宋体" w:hAnsi="宋体" w:eastAsia="宋体" w:cs="宋体"/>
          <w:bCs/>
          <w:color w:val="000000"/>
          <w:sz w:val="24"/>
          <w:szCs w:val="24"/>
          <w:highlight w:val="none"/>
        </w:rPr>
      </w:r>
      <w:r/>
    </w:p>
    <w:p>
      <w:pPr>
        <w:pStyle w:val="801"/>
        <w:ind w:left="0" w:right="0" w:firstLine="480"/>
        <w:jc w:val="both"/>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13.2.</w:t>
      </w:r>
      <w:r>
        <w:rPr>
          <w:rFonts w:hint="eastAsia" w:ascii="宋体" w:hAnsi="宋体" w:eastAsia="宋体" w:cs="宋体"/>
          <w:bCs/>
          <w:color w:val="000000"/>
          <w:sz w:val="24"/>
          <w:szCs w:val="24"/>
          <w:highlight w:val="none"/>
          <w:lang w:val="en-US" w:eastAsia="zh-CN"/>
        </w:rPr>
        <w:t xml:space="preserve">5</w:t>
      </w:r>
      <w:r>
        <w:rPr>
          <w:rFonts w:hint="eastAsia" w:ascii="宋体" w:hAnsi="宋体" w:eastAsia="宋体" w:cs="宋体"/>
          <w:bCs/>
          <w:color w:val="000000"/>
          <w:sz w:val="24"/>
          <w:szCs w:val="24"/>
          <w:highlight w:val="none"/>
        </w:rPr>
        <w:t xml:space="preserve">分项工程开工前必须按合同要求执行先试验再铺开的程序。</w:t>
      </w:r>
      <w:r>
        <w:rPr>
          <w:rFonts w:hint="eastAsia" w:ascii="宋体" w:hAnsi="宋体" w:eastAsia="宋体" w:cs="宋体"/>
          <w:bCs/>
          <w:color w:val="000000"/>
          <w:sz w:val="24"/>
          <w:szCs w:val="24"/>
          <w:highlight w:val="none"/>
        </w:rPr>
      </w:r>
      <w:r/>
    </w:p>
    <w:p>
      <w:pPr>
        <w:pStyle w:val="801"/>
        <w:ind w:left="0" w:right="0" w:firstLine="480"/>
        <w:jc w:val="both"/>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13.2.</w:t>
      </w:r>
      <w:r>
        <w:rPr>
          <w:rFonts w:hint="eastAsia" w:ascii="宋体" w:hAnsi="宋体" w:eastAsia="宋体" w:cs="宋体"/>
          <w:bCs/>
          <w:color w:val="000000"/>
          <w:sz w:val="24"/>
          <w:szCs w:val="24"/>
          <w:highlight w:val="none"/>
          <w:lang w:val="en-US" w:eastAsia="zh-CN"/>
        </w:rPr>
        <w:t xml:space="preserve">6</w:t>
      </w:r>
      <w:r>
        <w:rPr>
          <w:rFonts w:hint="eastAsia" w:ascii="宋体" w:hAnsi="宋体" w:eastAsia="宋体" w:cs="宋体"/>
          <w:bCs/>
          <w:color w:val="000000"/>
          <w:sz w:val="24"/>
          <w:szCs w:val="24"/>
          <w:highlight w:val="none"/>
        </w:rPr>
        <w:t xml:space="preserve"> 要建立质量奖罚制度，对质量事故要严肃处理，坚持三不放过：事故原因不明不放过，不分清责任不放过，没有改进措施不放过。</w:t>
      </w:r>
      <w:r>
        <w:rPr>
          <w:rFonts w:hint="eastAsia" w:ascii="宋体" w:hAnsi="宋体" w:eastAsia="宋体" w:cs="宋体"/>
          <w:bCs/>
          <w:color w:val="000000"/>
          <w:sz w:val="24"/>
          <w:szCs w:val="24"/>
          <w:highlight w:val="none"/>
        </w:rPr>
      </w:r>
      <w:r/>
    </w:p>
    <w:p>
      <w:pPr>
        <w:pStyle w:val="801"/>
        <w:ind w:left="0" w:right="0"/>
        <w:jc w:val="both"/>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13.3  承包人的质量检查</w:t>
      </w:r>
      <w:r>
        <w:rPr>
          <w:rFonts w:hint="eastAsia" w:ascii="宋体" w:hAnsi="宋体" w:eastAsia="宋体" w:cs="宋体"/>
          <w:b/>
          <w:bCs/>
          <w:color w:val="000000"/>
          <w:sz w:val="24"/>
          <w:szCs w:val="24"/>
          <w:highlight w:val="none"/>
        </w:rPr>
      </w:r>
      <w:r/>
    </w:p>
    <w:p>
      <w:pPr>
        <w:pStyle w:val="801"/>
        <w:ind w:left="0" w:right="0" w:firstLine="480"/>
        <w:jc w:val="both"/>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13.3.1 必须完备检验手段，要根据技术标准和要求的规定配齐检测和试验仪器、仪表，并应及时校正确保其精度，要加强标准计量基础工作和材料检验工作，不得违规计量，不合格材料严禁用于本工程。</w:t>
      </w:r>
      <w:r>
        <w:rPr>
          <w:rFonts w:hint="eastAsia" w:ascii="宋体" w:hAnsi="宋体" w:eastAsia="宋体" w:cs="宋体"/>
          <w:bCs/>
          <w:color w:val="000000"/>
          <w:sz w:val="24"/>
          <w:szCs w:val="24"/>
          <w:highlight w:val="none"/>
        </w:rPr>
      </w:r>
      <w:r/>
    </w:p>
    <w:p>
      <w:pPr>
        <w:pStyle w:val="801"/>
        <w:ind w:left="0" w:right="0" w:firstLine="480"/>
        <w:jc w:val="both"/>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13.3.2 要加强质量监控，确保规范规定的检验、抽检频率，现场质检的原始资料必须真实、准确、可靠，不得追记，接受质量检查时必须出示原始资料。监理人有指令时，重要的隐蔽工程覆盖前应进行摄像或照相并保存现场记录。</w:t>
      </w:r>
      <w:r>
        <w:rPr>
          <w:rFonts w:hint="eastAsia" w:ascii="宋体" w:hAnsi="宋体" w:eastAsia="宋体" w:cs="宋体"/>
          <w:bCs/>
          <w:color w:val="000000"/>
          <w:sz w:val="24"/>
          <w:szCs w:val="24"/>
          <w:highlight w:val="none"/>
        </w:rPr>
      </w:r>
      <w:r/>
    </w:p>
    <w:p>
      <w:pPr>
        <w:pStyle w:val="801"/>
        <w:ind w:left="0" w:right="0"/>
        <w:jc w:val="both"/>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13.5  工程隐蔽部位覆盖前的检查</w:t>
      </w:r>
      <w:r>
        <w:rPr>
          <w:rFonts w:hint="eastAsia" w:ascii="宋体" w:hAnsi="宋体" w:eastAsia="宋体" w:cs="宋体"/>
          <w:b/>
          <w:bCs/>
          <w:color w:val="000000"/>
          <w:sz w:val="24"/>
          <w:szCs w:val="24"/>
          <w:highlight w:val="none"/>
        </w:rPr>
      </w:r>
      <w:r/>
    </w:p>
    <w:p>
      <w:pPr>
        <w:pStyle w:val="801"/>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13.5.1 通知监理人检查</w:t>
      </w:r>
      <w:r>
        <w:rPr>
          <w:rFonts w:hint="eastAsia" w:ascii="宋体" w:hAnsi="宋体" w:eastAsia="宋体" w:cs="宋体"/>
          <w:color w:val="000000"/>
          <w:sz w:val="24"/>
          <w:szCs w:val="24"/>
          <w:highlight w:val="none"/>
        </w:rPr>
      </w:r>
      <w:r/>
    </w:p>
    <w:p>
      <w:pPr>
        <w:pStyle w:val="801"/>
        <w:ind w:left="0" w:right="0" w:firstLine="482"/>
        <w:jc w:val="both"/>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增加以下条款：</w:t>
      </w:r>
      <w:r>
        <w:rPr>
          <w:rFonts w:hint="eastAsia" w:ascii="宋体" w:hAnsi="宋体" w:eastAsia="宋体" w:cs="宋体"/>
          <w:b/>
          <w:bCs/>
          <w:color w:val="000000"/>
          <w:sz w:val="24"/>
          <w:szCs w:val="24"/>
          <w:highlight w:val="none"/>
          <w:lang w:val="en-US" w:eastAsia="zh-CN"/>
        </w:rPr>
      </w:r>
      <w:r/>
    </w:p>
    <w:p>
      <w:pPr>
        <w:pStyle w:val="801"/>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13.5.1.1 承包人在自检合格后，填写隐蔽工程验收申请单，在覆盖前48小时，通知监理人进行验收；监理人在接到通知48小时内进行验收。经监理人验收合格并在验收记录上签认后，承包人可进行覆盖和继续施工，若验收不合格，承包人应按监理人的要求整改并重新申请验收。</w:t>
      </w:r>
      <w:r>
        <w:rPr>
          <w:rFonts w:hint="eastAsia" w:ascii="宋体" w:hAnsi="宋体" w:eastAsia="宋体" w:cs="宋体"/>
          <w:color w:val="000000"/>
          <w:sz w:val="24"/>
          <w:szCs w:val="24"/>
          <w:highlight w:val="none"/>
        </w:rPr>
      </w:r>
      <w:r/>
    </w:p>
    <w:p>
      <w:pPr>
        <w:pStyle w:val="801"/>
        <w:ind w:left="0" w:right="0"/>
        <w:jc w:val="both"/>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14  试验和检验</w:t>
      </w:r>
      <w:r>
        <w:rPr>
          <w:rFonts w:hint="eastAsia" w:ascii="宋体" w:hAnsi="宋体" w:eastAsia="宋体" w:cs="宋体"/>
          <w:b/>
          <w:bCs/>
          <w:color w:val="000000"/>
          <w:sz w:val="24"/>
          <w:szCs w:val="24"/>
          <w:highlight w:val="none"/>
        </w:rPr>
      </w:r>
      <w:r/>
    </w:p>
    <w:p>
      <w:pPr>
        <w:pStyle w:val="801"/>
        <w:ind w:left="0" w:right="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14.1  材料、工程设备和工程的试验和检验</w:t>
      </w:r>
      <w:r>
        <w:rPr>
          <w:rFonts w:hint="eastAsia" w:ascii="宋体" w:hAnsi="宋体" w:eastAsia="宋体" w:cs="宋体"/>
          <w:color w:val="000000"/>
          <w:sz w:val="24"/>
          <w:szCs w:val="24"/>
          <w:highlight w:val="none"/>
        </w:rPr>
      </w:r>
      <w:r/>
    </w:p>
    <w:p>
      <w:pPr>
        <w:pStyle w:val="801"/>
        <w:ind w:left="0" w:right="0" w:firstLine="482"/>
        <w:jc w:val="both"/>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增加以下条款：</w:t>
      </w:r>
      <w:r>
        <w:rPr>
          <w:rFonts w:hint="eastAsia" w:ascii="宋体" w:hAnsi="宋体" w:eastAsia="宋体" w:cs="宋体"/>
          <w:b/>
          <w:bCs/>
          <w:color w:val="000000"/>
          <w:sz w:val="24"/>
          <w:szCs w:val="24"/>
          <w:highlight w:val="none"/>
          <w:lang w:val="en-US" w:eastAsia="zh-CN"/>
        </w:rPr>
      </w:r>
      <w:r/>
    </w:p>
    <w:p>
      <w:pPr>
        <w:pStyle w:val="801"/>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14.1.4 材料、构件、配件和工程设备订货前，承包人应向监理人提供生产厂家的生产许可证和相应资质证明文件等材料，对新材料、新产品还应提供鉴定证明和有关确认文件。</w:t>
      </w:r>
      <w:r>
        <w:rPr>
          <w:rFonts w:hint="eastAsia" w:ascii="宋体" w:hAnsi="宋体" w:eastAsia="宋体" w:cs="宋体"/>
          <w:color w:val="000000"/>
          <w:sz w:val="24"/>
          <w:szCs w:val="24"/>
          <w:highlight w:val="none"/>
        </w:rPr>
      </w:r>
      <w:r/>
    </w:p>
    <w:p>
      <w:pPr>
        <w:pStyle w:val="801"/>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监理人可以进行考察，考察内容和方式：</w:t>
      </w:r>
      <w:r>
        <w:rPr>
          <w:rFonts w:hint="eastAsia" w:ascii="宋体" w:hAnsi="宋体" w:eastAsia="宋体" w:cs="宋体"/>
          <w:color w:val="000000"/>
          <w:sz w:val="24"/>
          <w:szCs w:val="24"/>
          <w:highlight w:val="none"/>
          <w:u w:val="single"/>
        </w:rPr>
        <w:t xml:space="preserve">工程进展过程中确定。</w:t>
      </w:r>
      <w:r>
        <w:rPr>
          <w:rFonts w:hint="eastAsia" w:ascii="宋体" w:hAnsi="宋体" w:eastAsia="宋体" w:cs="宋体"/>
          <w:color w:val="000000"/>
          <w:sz w:val="24"/>
          <w:szCs w:val="24"/>
          <w:highlight w:val="none"/>
          <w:u w:val="single"/>
        </w:rPr>
      </w:r>
      <w:r/>
    </w:p>
    <w:p>
      <w:pPr>
        <w:pStyle w:val="801"/>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14.1.5 承包人与监理人不进行共同试验或检验。</w:t>
      </w:r>
      <w:r>
        <w:rPr>
          <w:rFonts w:hint="eastAsia" w:ascii="宋体" w:hAnsi="宋体" w:eastAsia="宋体" w:cs="宋体"/>
          <w:color w:val="000000"/>
          <w:sz w:val="24"/>
          <w:szCs w:val="24"/>
          <w:highlight w:val="none"/>
          <w:u w:val="single"/>
        </w:rPr>
      </w:r>
      <w:r/>
    </w:p>
    <w:p>
      <w:pPr>
        <w:pStyle w:val="801"/>
        <w:ind w:left="0" w:right="0"/>
        <w:jc w:val="both"/>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14.2  现场材料试验</w:t>
      </w:r>
      <w:r>
        <w:rPr>
          <w:rFonts w:hint="eastAsia" w:ascii="宋体" w:hAnsi="宋体" w:eastAsia="宋体" w:cs="宋体"/>
          <w:b/>
          <w:bCs/>
          <w:color w:val="000000"/>
          <w:sz w:val="24"/>
          <w:szCs w:val="24"/>
          <w:highlight w:val="none"/>
        </w:rPr>
      </w:r>
      <w:r/>
    </w:p>
    <w:p>
      <w:pPr>
        <w:pStyle w:val="801"/>
        <w:ind w:left="0" w:right="0" w:firstLine="482"/>
        <w:jc w:val="both"/>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增加以下条款：</w:t>
      </w:r>
      <w:r>
        <w:rPr>
          <w:rFonts w:hint="eastAsia" w:ascii="宋体" w:hAnsi="宋体" w:eastAsia="宋体" w:cs="宋体"/>
          <w:b/>
          <w:bCs/>
          <w:color w:val="000000"/>
          <w:sz w:val="24"/>
          <w:szCs w:val="24"/>
          <w:highlight w:val="none"/>
          <w:lang w:val="en-US" w:eastAsia="zh-CN"/>
        </w:rPr>
      </w:r>
      <w:r/>
    </w:p>
    <w:p>
      <w:pPr>
        <w:pStyle w:val="801"/>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14.2.3 承包人工地试验室的试验设备、器材的配备要求：满足相关规定。</w:t>
      </w:r>
      <w:r>
        <w:rPr>
          <w:rFonts w:hint="eastAsia" w:ascii="宋体" w:hAnsi="宋体" w:eastAsia="宋体" w:cs="宋体"/>
          <w:color w:val="000000"/>
          <w:sz w:val="24"/>
          <w:szCs w:val="24"/>
          <w:highlight w:val="none"/>
        </w:rPr>
      </w:r>
      <w:r/>
    </w:p>
    <w:p>
      <w:pPr>
        <w:pStyle w:val="801"/>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14.2.4 承包人应委托有试验检验资质的单位进行试验检验。</w:t>
      </w:r>
      <w:r>
        <w:rPr>
          <w:rFonts w:hint="eastAsia" w:ascii="宋体" w:hAnsi="宋体" w:eastAsia="宋体" w:cs="宋体"/>
          <w:color w:val="000000"/>
          <w:sz w:val="24"/>
          <w:szCs w:val="24"/>
          <w:highlight w:val="none"/>
        </w:rPr>
      </w:r>
      <w:r/>
    </w:p>
    <w:p>
      <w:pPr>
        <w:pStyle w:val="801"/>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14.2.5 发包人应委托有试验检验资质的单位进行第三方试验检验。</w:t>
      </w:r>
      <w:r>
        <w:rPr>
          <w:rFonts w:hint="eastAsia" w:ascii="宋体" w:hAnsi="宋体" w:eastAsia="宋体" w:cs="宋体"/>
          <w:color w:val="000000"/>
          <w:sz w:val="24"/>
          <w:szCs w:val="24"/>
          <w:highlight w:val="none"/>
        </w:rPr>
      </w:r>
      <w:r/>
    </w:p>
    <w:p>
      <w:pPr>
        <w:pStyle w:val="801"/>
        <w:ind w:left="0" w:right="0" w:firstLine="482"/>
        <w:jc w:val="both"/>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增加以下条款：</w:t>
      </w:r>
      <w:r>
        <w:rPr>
          <w:rFonts w:hint="eastAsia" w:ascii="宋体" w:hAnsi="宋体" w:eastAsia="宋体" w:cs="宋体"/>
          <w:b/>
          <w:bCs/>
          <w:color w:val="000000"/>
          <w:sz w:val="24"/>
          <w:szCs w:val="24"/>
          <w:highlight w:val="none"/>
          <w:lang w:val="en-US" w:eastAsia="zh-CN"/>
        </w:rPr>
      </w:r>
      <w:r/>
    </w:p>
    <w:p>
      <w:pPr>
        <w:pStyle w:val="801"/>
        <w:ind w:left="0" w:right="0"/>
        <w:jc w:val="both"/>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14.4  试验和检验费用</w:t>
      </w:r>
      <w:r>
        <w:rPr>
          <w:rFonts w:hint="eastAsia" w:ascii="宋体" w:hAnsi="宋体" w:eastAsia="宋体" w:cs="宋体"/>
          <w:b/>
          <w:bCs/>
          <w:color w:val="000000"/>
          <w:sz w:val="24"/>
          <w:szCs w:val="24"/>
          <w:highlight w:val="none"/>
        </w:rPr>
      </w:r>
      <w:r/>
    </w:p>
    <w:p>
      <w:pPr>
        <w:pStyle w:val="801"/>
        <w:ind w:left="0" w:right="0" w:firstLine="480"/>
        <w:jc w:val="both"/>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⑴承包人应负责提供合同和技术规范规定的试验和检验所需的全部样品，并承担其费用。</w:t>
      </w:r>
      <w:r>
        <w:rPr>
          <w:rFonts w:hint="eastAsia" w:ascii="宋体" w:hAnsi="宋体" w:eastAsia="宋体" w:cs="宋体"/>
          <w:bCs/>
          <w:color w:val="000000"/>
          <w:sz w:val="24"/>
          <w:szCs w:val="24"/>
          <w:highlight w:val="none"/>
        </w:rPr>
      </w:r>
      <w:r/>
    </w:p>
    <w:p>
      <w:pPr>
        <w:pStyle w:val="801"/>
        <w:ind w:left="0" w:right="0" w:firstLine="480"/>
        <w:jc w:val="both"/>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⑵在合同中明确规定的试验和检验，包括无须在工程量清单中单独列项和已在工程量清单中单独列项的试验和检验，其试验和检验的费用由承包人承担。</w:t>
      </w:r>
      <w:r>
        <w:rPr>
          <w:rFonts w:hint="eastAsia" w:ascii="宋体" w:hAnsi="宋体" w:eastAsia="宋体" w:cs="宋体"/>
          <w:bCs/>
          <w:color w:val="000000"/>
          <w:sz w:val="24"/>
          <w:szCs w:val="24"/>
          <w:highlight w:val="none"/>
        </w:rPr>
      </w:r>
      <w:r/>
    </w:p>
    <w:p>
      <w:pPr>
        <w:pStyle w:val="801"/>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⑶如果监理人所要求做的试验和检验为合同未规定的或是在该材料或工程设备的制造、加工、制配场地以外的场地进行的，则检验结束后，如表明操作工艺或材料、工程设备未能符合合同规定，其费用应由承包人承担，否则，其费用应由发包人承担。</w:t>
      </w:r>
      <w:r>
        <w:rPr>
          <w:rFonts w:hint="eastAsia" w:ascii="宋体" w:hAnsi="宋体" w:eastAsia="宋体" w:cs="宋体"/>
          <w:color w:val="000000"/>
          <w:sz w:val="24"/>
          <w:szCs w:val="24"/>
          <w:highlight w:val="none"/>
        </w:rPr>
      </w:r>
      <w:r/>
    </w:p>
    <w:p>
      <w:pPr>
        <w:pStyle w:val="801"/>
        <w:ind w:left="0" w:right="0"/>
        <w:jc w:val="both"/>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15  变更</w:t>
      </w:r>
      <w:r>
        <w:rPr>
          <w:rFonts w:hint="eastAsia" w:ascii="宋体" w:hAnsi="宋体" w:eastAsia="宋体" w:cs="宋体"/>
          <w:b/>
          <w:bCs/>
          <w:color w:val="000000"/>
          <w:sz w:val="24"/>
          <w:szCs w:val="24"/>
          <w:highlight w:val="none"/>
        </w:rPr>
      </w:r>
      <w:r/>
    </w:p>
    <w:p>
      <w:pPr>
        <w:pStyle w:val="801"/>
        <w:ind w:left="0" w:right="0"/>
        <w:jc w:val="both"/>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15.1 变更的范围和内容</w:t>
      </w:r>
      <w:r>
        <w:rPr>
          <w:rFonts w:hint="eastAsia" w:ascii="宋体" w:hAnsi="宋体" w:eastAsia="宋体" w:cs="宋体"/>
          <w:b/>
          <w:bCs/>
          <w:color w:val="000000"/>
          <w:sz w:val="24"/>
          <w:szCs w:val="24"/>
          <w:highlight w:val="none"/>
        </w:rPr>
      </w:r>
      <w:r/>
    </w:p>
    <w:p>
      <w:pPr>
        <w:pStyle w:val="801"/>
        <w:ind w:left="0" w:right="0" w:firstLine="480"/>
        <w:jc w:val="both"/>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15.1.1</w:t>
      </w:r>
      <w:r>
        <w:rPr>
          <w:rFonts w:hint="eastAsia" w:ascii="宋体" w:hAnsi="宋体" w:eastAsia="宋体" w:cs="宋体"/>
          <w:bCs/>
          <w:color w:val="000000"/>
          <w:sz w:val="24"/>
          <w:szCs w:val="24"/>
          <w:highlight w:val="none"/>
        </w:rPr>
        <w:t xml:space="preserve">变更的范围和内容：设计变更是指向承包人提供的有关施工依据的设计文件的变更和数量的调整。包括： </w:t>
      </w:r>
      <w:r>
        <w:rPr>
          <w:rFonts w:hint="eastAsia" w:ascii="宋体" w:hAnsi="宋体" w:eastAsia="宋体" w:cs="宋体"/>
          <w:bCs/>
          <w:color w:val="000000"/>
          <w:sz w:val="24"/>
          <w:szCs w:val="24"/>
          <w:highlight w:val="none"/>
        </w:rPr>
      </w:r>
      <w:r/>
    </w:p>
    <w:p>
      <w:pPr>
        <w:pStyle w:val="801"/>
        <w:ind w:left="0" w:right="0" w:firstLine="480"/>
        <w:jc w:val="both"/>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⑴更改工程有关部分的标高、基线、位置和尺寸；</w:t>
      </w:r>
      <w:r>
        <w:rPr>
          <w:rFonts w:hint="eastAsia" w:ascii="宋体" w:hAnsi="宋体" w:eastAsia="宋体" w:cs="宋体"/>
          <w:bCs/>
          <w:color w:val="000000"/>
          <w:sz w:val="24"/>
          <w:szCs w:val="24"/>
          <w:highlight w:val="none"/>
        </w:rPr>
      </w:r>
      <w:r/>
    </w:p>
    <w:p>
      <w:pPr>
        <w:pStyle w:val="801"/>
        <w:ind w:left="0" w:right="0" w:firstLine="480"/>
        <w:jc w:val="both"/>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⑵增减合同中约定的工程量； </w:t>
      </w:r>
      <w:r>
        <w:rPr>
          <w:rFonts w:hint="eastAsia" w:ascii="宋体" w:hAnsi="宋体" w:eastAsia="宋体" w:cs="宋体"/>
          <w:bCs/>
          <w:color w:val="000000"/>
          <w:sz w:val="24"/>
          <w:szCs w:val="24"/>
          <w:highlight w:val="none"/>
        </w:rPr>
      </w:r>
      <w:r/>
    </w:p>
    <w:p>
      <w:pPr>
        <w:pStyle w:val="801"/>
        <w:ind w:left="0" w:right="0" w:firstLine="480"/>
        <w:jc w:val="both"/>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⑶其他有关工程变更需要的附加工作。</w:t>
      </w:r>
      <w:r>
        <w:rPr>
          <w:rFonts w:hint="eastAsia" w:ascii="宋体" w:hAnsi="宋体" w:eastAsia="宋体" w:cs="宋体"/>
          <w:bCs/>
          <w:color w:val="000000"/>
          <w:sz w:val="24"/>
          <w:szCs w:val="24"/>
          <w:highlight w:val="none"/>
        </w:rPr>
      </w:r>
      <w:r/>
    </w:p>
    <w:p>
      <w:pPr>
        <w:pStyle w:val="801"/>
        <w:ind w:left="0" w:right="0" w:firstLine="482"/>
        <w:jc w:val="both"/>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15.1.2</w:t>
      </w:r>
      <w:r>
        <w:rPr>
          <w:rFonts w:hint="eastAsia" w:ascii="宋体" w:hAnsi="宋体" w:eastAsia="宋体" w:cs="宋体"/>
          <w:b/>
          <w:bCs/>
          <w:color w:val="000000"/>
          <w:sz w:val="24"/>
          <w:szCs w:val="24"/>
          <w:highlight w:val="none"/>
        </w:rPr>
        <w:t xml:space="preserve">凡符合下列条件之一者，可进行设计变更或调整：</w:t>
      </w:r>
      <w:r>
        <w:rPr>
          <w:rFonts w:hint="eastAsia" w:ascii="宋体" w:hAnsi="宋体" w:eastAsia="宋体" w:cs="宋体"/>
          <w:b/>
          <w:bCs/>
          <w:color w:val="000000"/>
          <w:sz w:val="24"/>
          <w:szCs w:val="24"/>
          <w:highlight w:val="none"/>
        </w:rPr>
      </w:r>
      <w:r/>
    </w:p>
    <w:p>
      <w:pPr>
        <w:pStyle w:val="801"/>
        <w:ind w:left="0" w:right="0" w:firstLine="480"/>
        <w:jc w:val="both"/>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⑴保持原设计标准质量，可降低投资；</w:t>
      </w:r>
      <w:r>
        <w:rPr>
          <w:rFonts w:hint="eastAsia" w:ascii="宋体" w:hAnsi="宋体" w:eastAsia="宋体" w:cs="宋体"/>
          <w:bCs/>
          <w:color w:val="000000"/>
          <w:sz w:val="24"/>
          <w:szCs w:val="24"/>
          <w:highlight w:val="none"/>
        </w:rPr>
      </w:r>
      <w:r/>
    </w:p>
    <w:p>
      <w:pPr>
        <w:pStyle w:val="801"/>
        <w:ind w:left="0" w:right="0" w:firstLine="480"/>
        <w:jc w:val="both"/>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⑵保持原设计标准质量，不增加投资或增加投资不多，能解决的特殊的技术问题，或对缩短工期效果明显；</w:t>
      </w:r>
      <w:r>
        <w:rPr>
          <w:rFonts w:hint="eastAsia" w:ascii="宋体" w:hAnsi="宋体" w:eastAsia="宋体" w:cs="宋体"/>
          <w:bCs/>
          <w:color w:val="000000"/>
          <w:sz w:val="24"/>
          <w:szCs w:val="24"/>
          <w:highlight w:val="none"/>
        </w:rPr>
      </w:r>
      <w:r/>
    </w:p>
    <w:p>
      <w:pPr>
        <w:pStyle w:val="801"/>
        <w:ind w:left="0" w:right="0" w:firstLine="480"/>
        <w:jc w:val="both"/>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⑶由于文物、环保等方面的原因或其他不可预见因素，必须变更设计方案；</w:t>
      </w:r>
      <w:r>
        <w:rPr>
          <w:rFonts w:hint="eastAsia" w:ascii="宋体" w:hAnsi="宋体" w:eastAsia="宋体" w:cs="宋体"/>
          <w:bCs/>
          <w:color w:val="000000"/>
          <w:sz w:val="24"/>
          <w:szCs w:val="24"/>
          <w:highlight w:val="none"/>
        </w:rPr>
      </w:r>
      <w:r/>
    </w:p>
    <w:p>
      <w:pPr>
        <w:pStyle w:val="801"/>
        <w:ind w:left="0" w:right="0" w:firstLine="480"/>
        <w:jc w:val="both"/>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⑷不增加投资或增加投资不多，有利于改善使用功能、提高使用寿命或节省工程的维修、养护费用；</w:t>
      </w:r>
      <w:r>
        <w:rPr>
          <w:rFonts w:hint="eastAsia" w:ascii="宋体" w:hAnsi="宋体" w:eastAsia="宋体" w:cs="宋体"/>
          <w:bCs/>
          <w:color w:val="000000"/>
          <w:sz w:val="24"/>
          <w:szCs w:val="24"/>
          <w:highlight w:val="none"/>
        </w:rPr>
      </w:r>
      <w:r/>
    </w:p>
    <w:p>
      <w:pPr>
        <w:pStyle w:val="801"/>
        <w:ind w:left="0" w:right="0" w:firstLine="480"/>
        <w:jc w:val="both"/>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⑸在基本不增加投资的情况下，便于采用新技术、新材料、新设备，有利于提高工程质量标准，提高功效和增进技术进步；</w:t>
      </w:r>
      <w:r>
        <w:rPr>
          <w:rFonts w:hint="eastAsia" w:ascii="宋体" w:hAnsi="宋体" w:eastAsia="宋体" w:cs="宋体"/>
          <w:bCs/>
          <w:color w:val="000000"/>
          <w:sz w:val="24"/>
          <w:szCs w:val="24"/>
          <w:highlight w:val="none"/>
        </w:rPr>
      </w:r>
      <w:r/>
    </w:p>
    <w:p>
      <w:pPr>
        <w:pStyle w:val="801"/>
        <w:ind w:left="0" w:right="0" w:firstLine="480"/>
        <w:jc w:val="both"/>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⑹由于疫情原因等不可抗力导致工期紧张，为加快工程进度而采取相关措施；</w:t>
      </w:r>
      <w:r>
        <w:rPr>
          <w:rFonts w:hint="eastAsia" w:ascii="宋体" w:hAnsi="宋体" w:eastAsia="宋体" w:cs="宋体"/>
          <w:bCs/>
          <w:color w:val="000000"/>
          <w:sz w:val="24"/>
          <w:szCs w:val="24"/>
          <w:highlight w:val="none"/>
        </w:rPr>
      </w:r>
      <w:r/>
    </w:p>
    <w:p>
      <w:pPr>
        <w:pStyle w:val="801"/>
        <w:ind w:left="0" w:right="0" w:firstLine="480"/>
        <w:jc w:val="both"/>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⑺当施工图设计与现场情况不符时，为符合现场情况而进行变更设计；</w:t>
      </w:r>
      <w:r>
        <w:rPr>
          <w:rFonts w:hint="eastAsia" w:ascii="宋体" w:hAnsi="宋体" w:eastAsia="宋体" w:cs="宋体"/>
          <w:bCs/>
          <w:color w:val="000000"/>
          <w:sz w:val="24"/>
          <w:szCs w:val="24"/>
          <w:highlight w:val="none"/>
        </w:rPr>
      </w:r>
      <w:r/>
    </w:p>
    <w:p>
      <w:pPr>
        <w:pStyle w:val="801"/>
        <w:ind w:left="0" w:right="0" w:firstLine="480"/>
        <w:jc w:val="both"/>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⑻施工图设计差、错、漏及设计明显不合理；</w:t>
      </w:r>
      <w:r>
        <w:rPr>
          <w:rFonts w:hint="eastAsia" w:ascii="宋体" w:hAnsi="宋体" w:eastAsia="宋体" w:cs="宋体"/>
          <w:bCs/>
          <w:color w:val="000000"/>
          <w:sz w:val="24"/>
          <w:szCs w:val="24"/>
          <w:highlight w:val="none"/>
        </w:rPr>
      </w:r>
      <w:r/>
    </w:p>
    <w:p>
      <w:pPr>
        <w:pStyle w:val="801"/>
        <w:ind w:left="0" w:right="0" w:firstLine="480"/>
        <w:jc w:val="both"/>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⑼其他特殊情况。</w:t>
      </w:r>
      <w:r>
        <w:rPr>
          <w:rFonts w:hint="eastAsia" w:ascii="宋体" w:hAnsi="宋体" w:eastAsia="宋体" w:cs="宋体"/>
          <w:bCs/>
          <w:color w:val="000000"/>
          <w:sz w:val="24"/>
          <w:szCs w:val="24"/>
          <w:highlight w:val="none"/>
        </w:rPr>
      </w:r>
      <w:r/>
    </w:p>
    <w:p>
      <w:pPr>
        <w:pStyle w:val="801"/>
        <w:ind w:left="0" w:right="0"/>
        <w:jc w:val="both"/>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15.3  变更程序</w:t>
      </w:r>
      <w:r>
        <w:rPr>
          <w:rFonts w:hint="eastAsia" w:ascii="宋体" w:hAnsi="宋体" w:eastAsia="宋体" w:cs="宋体"/>
          <w:b/>
          <w:bCs/>
          <w:color w:val="000000"/>
          <w:sz w:val="24"/>
          <w:szCs w:val="24"/>
          <w:highlight w:val="none"/>
        </w:rPr>
      </w:r>
      <w:r/>
    </w:p>
    <w:p>
      <w:pPr>
        <w:pStyle w:val="801"/>
        <w:ind w:left="0" w:right="0" w:firstLine="482"/>
        <w:jc w:val="both"/>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15.3.2 变更估价</w:t>
      </w:r>
      <w:r>
        <w:rPr>
          <w:rFonts w:hint="eastAsia" w:ascii="宋体" w:hAnsi="宋体" w:eastAsia="宋体" w:cs="宋体"/>
          <w:b/>
          <w:bCs/>
          <w:color w:val="000000"/>
          <w:sz w:val="24"/>
          <w:szCs w:val="24"/>
          <w:highlight w:val="none"/>
        </w:rPr>
      </w:r>
      <w:r/>
    </w:p>
    <w:p>
      <w:pPr>
        <w:pStyle w:val="801"/>
        <w:ind w:left="0" w:right="0" w:firstLine="480"/>
        <w:jc w:val="both"/>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第⑴、⑶</w:t>
      </w:r>
      <w:r>
        <w:rPr>
          <w:rFonts w:hint="eastAsia" w:ascii="宋体" w:hAnsi="宋体" w:eastAsia="宋体" w:cs="宋体"/>
          <w:bCs/>
          <w:color w:val="000000"/>
          <w:sz w:val="24"/>
          <w:szCs w:val="24"/>
          <w:highlight w:val="none"/>
          <w:lang w:val="en-US" w:eastAsia="zh-CN"/>
        </w:rPr>
        <w:t xml:space="preserve">条款</w:t>
      </w:r>
      <w:r>
        <w:rPr>
          <w:rFonts w:hint="eastAsia" w:ascii="宋体" w:hAnsi="宋体" w:eastAsia="宋体" w:cs="宋体"/>
          <w:bCs/>
          <w:color w:val="000000"/>
          <w:sz w:val="24"/>
          <w:szCs w:val="24"/>
          <w:highlight w:val="none"/>
        </w:rPr>
        <w:t xml:space="preserve">约定</w:t>
      </w:r>
      <w:r>
        <w:rPr>
          <w:rFonts w:hint="eastAsia" w:ascii="宋体" w:hAnsi="宋体" w:eastAsia="宋体" w:cs="宋体"/>
          <w:bCs/>
          <w:color w:val="000000"/>
          <w:sz w:val="24"/>
          <w:szCs w:val="24"/>
          <w:highlight w:val="none"/>
          <w:lang w:val="en-US" w:eastAsia="zh-CN"/>
        </w:rPr>
        <w:t xml:space="preserve">修改为</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801"/>
        <w:ind w:left="0" w:right="0" w:firstLine="480"/>
        <w:jc w:val="both"/>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⑴承包人向监理人提交变更报价书的期限：承包人在双方确定变更后14天内不向监理人提出变更工程价款报告时，视为该项变更不涉及合同价款的变更。</w:t>
      </w:r>
      <w:r>
        <w:rPr>
          <w:rFonts w:hint="eastAsia" w:ascii="宋体" w:hAnsi="宋体" w:eastAsia="宋体" w:cs="宋体"/>
          <w:bCs/>
          <w:color w:val="000000"/>
          <w:sz w:val="24"/>
          <w:szCs w:val="24"/>
          <w:highlight w:val="none"/>
        </w:rPr>
      </w:r>
      <w:r/>
    </w:p>
    <w:p>
      <w:pPr>
        <w:pStyle w:val="801"/>
        <w:ind w:left="0" w:right="0" w:firstLine="480"/>
        <w:jc w:val="both"/>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⑶监理人商定或确定变更价格的期限：监理人应在收到变更工程价款报告之日起14天内予以确认，监理人无正当理由不确认时，自变更工程价款报告送达之日起14天后视为变更工程价款报告已被确认。</w:t>
      </w:r>
      <w:r>
        <w:rPr>
          <w:rFonts w:hint="eastAsia" w:ascii="宋体" w:hAnsi="宋体" w:eastAsia="宋体" w:cs="宋体"/>
          <w:bCs/>
          <w:color w:val="000000"/>
          <w:sz w:val="24"/>
          <w:szCs w:val="24"/>
          <w:highlight w:val="none"/>
        </w:rPr>
      </w:r>
      <w:r/>
    </w:p>
    <w:p>
      <w:pPr>
        <w:pStyle w:val="801"/>
        <w:ind w:left="0" w:right="0" w:firstLine="482"/>
        <w:jc w:val="both"/>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
          <w:bCs/>
          <w:color w:val="000000"/>
          <w:sz w:val="24"/>
          <w:szCs w:val="24"/>
          <w:highlight w:val="none"/>
        </w:rPr>
        <w:t xml:space="preserve">15.3.3  变更指示</w:t>
      </w:r>
      <w:r>
        <w:rPr>
          <w:rFonts w:hint="eastAsia" w:ascii="宋体" w:hAnsi="宋体" w:eastAsia="宋体" w:cs="宋体"/>
          <w:bCs/>
          <w:color w:val="000000"/>
          <w:sz w:val="24"/>
          <w:szCs w:val="24"/>
          <w:highlight w:val="none"/>
        </w:rPr>
      </w:r>
      <w:r/>
    </w:p>
    <w:p>
      <w:pPr>
        <w:pStyle w:val="801"/>
        <w:ind w:left="0" w:right="0" w:firstLine="482"/>
        <w:jc w:val="both"/>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增加以下条款：</w:t>
      </w:r>
      <w:r>
        <w:rPr>
          <w:rFonts w:hint="eastAsia" w:ascii="宋体" w:hAnsi="宋体" w:eastAsia="宋体" w:cs="宋体"/>
          <w:b/>
          <w:bCs/>
          <w:color w:val="000000"/>
          <w:sz w:val="24"/>
          <w:szCs w:val="24"/>
          <w:highlight w:val="none"/>
          <w:lang w:val="en-US" w:eastAsia="zh-CN"/>
        </w:rPr>
      </w:r>
      <w:r/>
    </w:p>
    <w:p>
      <w:pPr>
        <w:pStyle w:val="801"/>
        <w:ind w:left="0" w:right="0" w:firstLine="482"/>
        <w:jc w:val="both"/>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⑶变更立项和价格审批按照发包人制订的相关管理办法执行。</w:t>
      </w:r>
      <w:r>
        <w:rPr>
          <w:rFonts w:hint="eastAsia" w:ascii="宋体" w:hAnsi="宋体" w:eastAsia="宋体" w:cs="宋体"/>
          <w:b/>
          <w:bCs/>
          <w:color w:val="000000"/>
          <w:sz w:val="24"/>
          <w:szCs w:val="24"/>
          <w:highlight w:val="none"/>
        </w:rPr>
      </w:r>
      <w:r/>
    </w:p>
    <w:p>
      <w:pPr>
        <w:pStyle w:val="801"/>
        <w:ind w:left="0" w:right="0"/>
        <w:jc w:val="both"/>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15.5 承包人的合理化建议</w:t>
      </w:r>
      <w:r>
        <w:rPr>
          <w:rFonts w:hint="eastAsia" w:ascii="宋体" w:hAnsi="宋体" w:eastAsia="宋体" w:cs="宋体"/>
          <w:b/>
          <w:bCs/>
          <w:color w:val="000000"/>
          <w:sz w:val="24"/>
          <w:szCs w:val="24"/>
          <w:highlight w:val="none"/>
        </w:rPr>
      </w:r>
      <w:r/>
    </w:p>
    <w:p>
      <w:pPr>
        <w:pStyle w:val="801"/>
        <w:ind w:left="0" w:right="0" w:firstLine="482"/>
        <w:jc w:val="both"/>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增加以下条款：</w:t>
      </w:r>
      <w:r>
        <w:rPr>
          <w:rFonts w:hint="eastAsia" w:ascii="宋体" w:hAnsi="宋体" w:eastAsia="宋体" w:cs="宋体"/>
          <w:b/>
          <w:bCs/>
          <w:color w:val="000000"/>
          <w:sz w:val="24"/>
          <w:szCs w:val="24"/>
          <w:highlight w:val="none"/>
          <w:lang w:val="en-US" w:eastAsia="zh-CN"/>
        </w:rPr>
      </w:r>
      <w:r/>
    </w:p>
    <w:p>
      <w:pPr>
        <w:pStyle w:val="801"/>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15.5.</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承包人提出的合理化建议经实施后，按其节省费用的</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 xml:space="preserve">%奖励承包人。</w:t>
      </w:r>
      <w:r>
        <w:rPr>
          <w:rFonts w:hint="eastAsia" w:ascii="宋体" w:hAnsi="宋体" w:eastAsia="宋体" w:cs="宋体"/>
          <w:color w:val="000000"/>
          <w:sz w:val="24"/>
          <w:szCs w:val="24"/>
          <w:highlight w:val="none"/>
        </w:rPr>
      </w:r>
      <w:r/>
    </w:p>
    <w:p>
      <w:pPr>
        <w:pStyle w:val="801"/>
        <w:ind w:left="0" w:right="0"/>
        <w:jc w:val="both"/>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16  价格调整</w:t>
      </w:r>
      <w:r>
        <w:rPr>
          <w:rFonts w:hint="eastAsia" w:ascii="宋体" w:hAnsi="宋体" w:eastAsia="宋体" w:cs="宋体"/>
          <w:b/>
          <w:bCs/>
          <w:color w:val="000000"/>
          <w:sz w:val="24"/>
          <w:szCs w:val="24"/>
          <w:highlight w:val="none"/>
        </w:rPr>
      </w:r>
      <w:r/>
    </w:p>
    <w:p>
      <w:pPr>
        <w:pStyle w:val="801"/>
        <w:ind w:left="0" w:right="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16.1  物价波动引起的价格调整</w:t>
      </w:r>
      <w:r>
        <w:rPr>
          <w:rFonts w:hint="eastAsia" w:ascii="宋体" w:hAnsi="宋体" w:eastAsia="宋体" w:cs="宋体"/>
          <w:color w:val="000000"/>
          <w:sz w:val="24"/>
          <w:szCs w:val="24"/>
          <w:highlight w:val="none"/>
        </w:rPr>
      </w:r>
      <w:r/>
    </w:p>
    <w:p>
      <w:pPr>
        <w:pStyle w:val="801"/>
        <w:ind w:left="0" w:right="0" w:firstLine="482"/>
        <w:jc w:val="both"/>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增加以下条款：</w:t>
      </w:r>
      <w:r>
        <w:rPr>
          <w:rFonts w:hint="eastAsia" w:ascii="宋体" w:hAnsi="宋体" w:eastAsia="宋体" w:cs="宋体"/>
          <w:b/>
          <w:bCs/>
          <w:color w:val="000000"/>
          <w:sz w:val="24"/>
          <w:szCs w:val="24"/>
          <w:highlight w:val="none"/>
          <w:lang w:val="en-US" w:eastAsia="zh-CN"/>
        </w:rPr>
      </w:r>
      <w:r/>
    </w:p>
    <w:p>
      <w:pPr>
        <w:pStyle w:val="801"/>
        <w:ind w:left="0" w:right="0" w:firstLine="480"/>
        <w:jc w:val="both"/>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16.1.3  物价波动引起的价格调整方法：</w:t>
      </w:r>
      <w:r>
        <w:rPr>
          <w:rFonts w:hint="eastAsia" w:ascii="宋体" w:hAnsi="宋体" w:eastAsia="宋体" w:cs="宋体"/>
          <w:b/>
          <w:color w:val="000000"/>
          <w:sz w:val="24"/>
          <w:szCs w:val="24"/>
          <w:highlight w:val="none"/>
        </w:rPr>
        <w:t xml:space="preserve">在合同执行期间，由于人工、机械等因素对工程成本的影响，发包人对合同价格均不予调整；材料使用、价格涨落等因素对工程成本的影响，合同价格不调整。  </w:t>
      </w:r>
      <w:r>
        <w:rPr>
          <w:rFonts w:hint="eastAsia" w:ascii="宋体" w:hAnsi="宋体" w:eastAsia="宋体" w:cs="宋体"/>
          <w:b/>
          <w:color w:val="000000"/>
          <w:sz w:val="24"/>
          <w:szCs w:val="24"/>
          <w:highlight w:val="none"/>
        </w:rPr>
      </w:r>
      <w:r/>
    </w:p>
    <w:p>
      <w:pPr>
        <w:pStyle w:val="801"/>
        <w:ind w:left="0" w:right="0"/>
        <w:jc w:val="both"/>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17  计量与支付</w:t>
      </w:r>
      <w:r>
        <w:rPr>
          <w:rFonts w:hint="eastAsia" w:ascii="宋体" w:hAnsi="宋体" w:eastAsia="宋体" w:cs="宋体"/>
          <w:b/>
          <w:bCs/>
          <w:color w:val="000000"/>
          <w:sz w:val="24"/>
          <w:szCs w:val="24"/>
          <w:highlight w:val="none"/>
        </w:rPr>
      </w:r>
      <w:r/>
    </w:p>
    <w:p>
      <w:pPr>
        <w:pStyle w:val="801"/>
        <w:ind w:left="0" w:right="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17.1  计量</w:t>
      </w:r>
      <w:r>
        <w:rPr>
          <w:rFonts w:hint="eastAsia" w:ascii="宋体" w:hAnsi="宋体" w:eastAsia="宋体" w:cs="宋体"/>
          <w:color w:val="000000"/>
          <w:sz w:val="24"/>
          <w:szCs w:val="24"/>
          <w:highlight w:val="none"/>
        </w:rPr>
      </w:r>
      <w:r/>
    </w:p>
    <w:p>
      <w:pPr>
        <w:pStyle w:val="801"/>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17.1.6  承包人应将月度计量报表于每月</w:t>
      </w:r>
      <w:r>
        <w:rPr>
          <w:rFonts w:hint="eastAsia" w:ascii="宋体" w:hAnsi="宋体" w:eastAsia="宋体" w:cs="宋体"/>
          <w:color w:val="000000"/>
          <w:sz w:val="24"/>
          <w:szCs w:val="24"/>
          <w:highlight w:val="none"/>
          <w:u w:val="single"/>
        </w:rPr>
        <w:t xml:space="preserve">25</w:t>
      </w:r>
      <w:r>
        <w:rPr>
          <w:rFonts w:hint="eastAsia" w:ascii="宋体" w:hAnsi="宋体" w:eastAsia="宋体" w:cs="宋体"/>
          <w:color w:val="000000"/>
          <w:sz w:val="24"/>
          <w:szCs w:val="24"/>
          <w:highlight w:val="none"/>
        </w:rPr>
        <w:t xml:space="preserve">日前报监理人一式</w:t>
      </w:r>
      <w:r>
        <w:rPr>
          <w:rFonts w:hint="eastAsia" w:ascii="宋体" w:hAnsi="宋体" w:eastAsia="宋体" w:cs="宋体"/>
          <w:color w:val="000000"/>
          <w:sz w:val="24"/>
          <w:szCs w:val="24"/>
          <w:highlight w:val="none"/>
          <w:u w:val="single"/>
        </w:rPr>
        <w:t xml:space="preserve">4</w:t>
      </w:r>
      <w:r>
        <w:rPr>
          <w:rFonts w:hint="eastAsia" w:ascii="宋体" w:hAnsi="宋体" w:eastAsia="宋体" w:cs="宋体"/>
          <w:color w:val="000000"/>
          <w:sz w:val="24"/>
          <w:szCs w:val="24"/>
          <w:highlight w:val="none"/>
        </w:rPr>
        <w:t xml:space="preserve">份。</w:t>
      </w:r>
      <w:r>
        <w:rPr>
          <w:rFonts w:hint="eastAsia" w:ascii="宋体" w:hAnsi="宋体" w:eastAsia="宋体" w:cs="宋体"/>
          <w:color w:val="000000"/>
          <w:sz w:val="24"/>
          <w:szCs w:val="24"/>
          <w:highlight w:val="none"/>
        </w:rPr>
      </w:r>
      <w:r/>
    </w:p>
    <w:p>
      <w:pPr>
        <w:pStyle w:val="801"/>
        <w:ind w:left="0" w:right="0"/>
        <w:jc w:val="both"/>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17.2  预付款</w:t>
      </w:r>
      <w:r>
        <w:rPr>
          <w:rFonts w:hint="eastAsia" w:ascii="宋体" w:hAnsi="宋体" w:eastAsia="宋体" w:cs="宋体"/>
          <w:b/>
          <w:bCs/>
          <w:color w:val="000000"/>
          <w:sz w:val="24"/>
          <w:szCs w:val="24"/>
          <w:highlight w:val="none"/>
        </w:rPr>
      </w:r>
      <w:r/>
    </w:p>
    <w:p>
      <w:pPr>
        <w:pStyle w:val="801"/>
        <w:ind w:left="0" w:right="0"/>
        <w:jc w:val="both"/>
        <w:keepLines w:val="0"/>
        <w:keepNext w:val="0"/>
        <w:pageBreakBefore w:val="0"/>
        <w:spacing w:line="360" w:lineRule="auto"/>
        <w:widowControl w:val="off"/>
        <w:rPr>
          <w:rFonts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 </w:t>
      </w:r>
      <w:r>
        <w:rPr>
          <w:rFonts w:hint="eastAsia" w:ascii="宋体" w:hAnsi="宋体" w:eastAsia="宋体" w:cs="宋体"/>
          <w:b/>
          <w:bCs/>
          <w:color w:val="000000"/>
          <w:sz w:val="24"/>
          <w:szCs w:val="24"/>
          <w:highlight w:val="none"/>
          <w:lang w:val="en-US" w:eastAsia="zh-CN"/>
        </w:rPr>
        <w:t xml:space="preserve">     无。</w:t>
      </w:r>
      <w:r>
        <w:rPr>
          <w:rFonts w:ascii="宋体" w:hAnsi="宋体" w:eastAsia="宋体" w:cs="宋体"/>
          <w:b/>
          <w:bCs/>
          <w:color w:val="000000"/>
          <w:sz w:val="24"/>
          <w:szCs w:val="24"/>
          <w:highlight w:val="none"/>
          <w:lang w:val="en-US" w:eastAsia="zh-CN"/>
        </w:rPr>
      </w:r>
      <w:r/>
    </w:p>
    <w:p>
      <w:pPr>
        <w:pStyle w:val="801"/>
        <w:ind w:left="0" w:right="0"/>
        <w:jc w:val="both"/>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17.3  工程进度付款</w:t>
      </w:r>
      <w:r>
        <w:rPr>
          <w:rFonts w:hint="eastAsia" w:ascii="宋体" w:hAnsi="宋体" w:eastAsia="宋体" w:cs="宋体"/>
          <w:b/>
          <w:bCs/>
          <w:color w:val="000000"/>
          <w:sz w:val="24"/>
          <w:szCs w:val="24"/>
          <w:highlight w:val="none"/>
        </w:rPr>
      </w:r>
      <w:r/>
    </w:p>
    <w:p>
      <w:pPr>
        <w:pStyle w:val="801"/>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17.3.1</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进度款：</w:t>
      </w:r>
      <w:r>
        <w:rPr>
          <w:rFonts w:hint="eastAsia" w:ascii="宋体" w:hAnsi="宋体" w:eastAsia="宋体" w:cs="宋体"/>
          <w:color w:val="000000"/>
          <w:sz w:val="24"/>
          <w:szCs w:val="24"/>
          <w:highlight w:val="none"/>
          <w:lang w:val="en-US" w:eastAsia="zh-CN"/>
        </w:rPr>
        <w:t xml:space="preserve">本项目按节点支付。</w:t>
      </w:r>
      <w:r>
        <w:rPr>
          <w:rFonts w:hint="eastAsia" w:ascii="宋体" w:hAnsi="宋体" w:eastAsia="宋体" w:cs="宋体"/>
          <w:color w:val="000000"/>
          <w:sz w:val="24"/>
          <w:szCs w:val="24"/>
          <w:highlight w:val="none"/>
          <w:lang w:val="en-US" w:eastAsia="zh-CN"/>
        </w:rPr>
      </w:r>
      <w:r/>
    </w:p>
    <w:p>
      <w:pPr>
        <w:pStyle w:val="801"/>
        <w:ind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第一次付款：中标人完成主要设备（起吊船）和主要人员进场后支付20%签约合同价款（含50%安全生产费，不含暂列金额）</w:t>
      </w:r>
      <w:r>
        <w:rPr>
          <w:rFonts w:hint="eastAsia" w:ascii="宋体" w:hAnsi="宋体" w:eastAsia="宋体" w:cs="宋体"/>
          <w:color w:val="000000"/>
          <w:sz w:val="24"/>
          <w:szCs w:val="24"/>
          <w:highlight w:val="none"/>
          <w:lang w:val="en-US" w:eastAsia="zh-CN"/>
        </w:rPr>
      </w:r>
      <w:r/>
    </w:p>
    <w:p>
      <w:pPr>
        <w:pStyle w:val="801"/>
        <w:ind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第二次付款：完成6个套箱的制作、现场安装、浇筑后经承包人申请可支付签约合同价（不含暂列金额）的40%；</w:t>
      </w:r>
      <w:r>
        <w:rPr>
          <w:rFonts w:hint="eastAsia" w:ascii="宋体" w:hAnsi="宋体" w:eastAsia="宋体" w:cs="宋体"/>
          <w:color w:val="000000"/>
          <w:sz w:val="24"/>
          <w:szCs w:val="24"/>
          <w:highlight w:val="none"/>
          <w:lang w:val="en-US" w:eastAsia="zh-CN"/>
        </w:rPr>
      </w:r>
      <w:r/>
    </w:p>
    <w:p>
      <w:pPr>
        <w:pStyle w:val="801"/>
        <w:ind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第三次付款：完成剩余工程量，项目经竣工验收合格后支付至结算价款的90%；</w:t>
      </w:r>
      <w:r>
        <w:rPr>
          <w:rFonts w:hint="eastAsia" w:ascii="宋体" w:hAnsi="宋体" w:eastAsia="宋体" w:cs="宋体"/>
          <w:color w:val="000000"/>
          <w:sz w:val="24"/>
          <w:szCs w:val="24"/>
          <w:highlight w:val="none"/>
          <w:lang w:val="en-US" w:eastAsia="zh-CN"/>
        </w:rPr>
      </w:r>
      <w:r/>
    </w:p>
    <w:p>
      <w:pPr>
        <w:pStyle w:val="801"/>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17.3.2</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结算款：审计后支付至审定价的100%（付款前，承包人</w:t>
      </w:r>
      <w:r>
        <w:rPr>
          <w:rFonts w:hint="eastAsia" w:ascii="宋体" w:hAnsi="宋体" w:eastAsia="宋体" w:cs="宋体"/>
          <w:color w:val="000000"/>
          <w:sz w:val="24"/>
          <w:szCs w:val="24"/>
          <w:highlight w:val="none"/>
          <w:lang w:val="en-US" w:eastAsia="zh-CN"/>
        </w:rPr>
        <w:t xml:space="preserve">向发包人缴纳</w:t>
      </w:r>
      <w:r>
        <w:rPr>
          <w:rFonts w:hint="eastAsia" w:ascii="宋体" w:hAnsi="宋体" w:eastAsia="宋体" w:cs="宋体"/>
          <w:color w:val="000000"/>
          <w:sz w:val="24"/>
          <w:szCs w:val="24"/>
          <w:highlight w:val="none"/>
        </w:rPr>
        <w:t xml:space="preserve">工程竣工结算审定金额的3%</w:t>
      </w:r>
      <w:r>
        <w:rPr>
          <w:rFonts w:hint="eastAsia" w:ascii="宋体" w:hAnsi="宋体" w:eastAsia="宋体" w:cs="宋体"/>
          <w:color w:val="000000"/>
          <w:sz w:val="24"/>
          <w:szCs w:val="24"/>
          <w:highlight w:val="none"/>
          <w:lang w:val="en-US" w:eastAsia="zh-CN"/>
        </w:rPr>
        <w:t xml:space="preserve">作为</w:t>
      </w:r>
      <w:r>
        <w:rPr>
          <w:rFonts w:hint="eastAsia" w:ascii="宋体" w:hAnsi="宋体" w:eastAsia="宋体" w:cs="宋体"/>
          <w:color w:val="000000"/>
          <w:sz w:val="24"/>
          <w:szCs w:val="24"/>
          <w:highlight w:val="none"/>
        </w:rPr>
        <w:t xml:space="preserve">质保金，缺陷责任期满，无质量问题经验收合格，一次性无息退还），承包人延期竣工造成的一切损失由承包人承担，在竣工结算中扣除。</w:t>
      </w:r>
      <w:r>
        <w:rPr>
          <w:rFonts w:hint="eastAsia" w:ascii="宋体" w:hAnsi="宋体" w:eastAsia="宋体" w:cs="宋体"/>
          <w:color w:val="000000"/>
          <w:sz w:val="24"/>
          <w:szCs w:val="24"/>
          <w:highlight w:val="none"/>
        </w:rPr>
      </w:r>
      <w:r/>
    </w:p>
    <w:p>
      <w:pPr>
        <w:pStyle w:val="801"/>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17.3.3</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支付时间：自承包人申报支付申请完成监理等审批程序，报到</w:t>
      </w:r>
      <w:r>
        <w:rPr>
          <w:rFonts w:hint="eastAsia" w:ascii="宋体" w:hAnsi="宋体" w:eastAsia="宋体" w:cs="宋体"/>
          <w:color w:val="000000"/>
          <w:sz w:val="24"/>
          <w:szCs w:val="24"/>
          <w:highlight w:val="none"/>
          <w:lang w:val="en-US" w:eastAsia="zh-CN"/>
        </w:rPr>
        <w:t xml:space="preserve">发包</w:t>
      </w:r>
      <w:r>
        <w:rPr>
          <w:rFonts w:hint="eastAsia" w:ascii="宋体" w:hAnsi="宋体" w:eastAsia="宋体" w:cs="宋体"/>
          <w:color w:val="000000"/>
          <w:sz w:val="24"/>
          <w:szCs w:val="24"/>
          <w:highlight w:val="none"/>
        </w:rPr>
        <w:t xml:space="preserve">人</w:t>
      </w:r>
      <w:r>
        <w:rPr>
          <w:rFonts w:hint="eastAsia" w:ascii="宋体" w:hAnsi="宋体" w:eastAsia="宋体" w:cs="宋体"/>
          <w:color w:val="000000"/>
          <w:sz w:val="24"/>
          <w:szCs w:val="24"/>
          <w:highlight w:val="none"/>
          <w:lang w:val="en-US" w:eastAsia="zh-CN"/>
        </w:rPr>
        <w:t xml:space="preserve">后进行支付</w:t>
      </w:r>
      <w:r>
        <w:rPr>
          <w:rFonts w:hint="eastAsia" w:ascii="宋体" w:hAnsi="宋体" w:eastAsia="宋体" w:cs="宋体"/>
          <w:bCs/>
          <w:color w:val="000000"/>
          <w:sz w:val="24"/>
          <w:szCs w:val="24"/>
          <w:highlight w:val="none"/>
        </w:rPr>
        <w:t xml:space="preserve">。</w:t>
      </w:r>
      <w:r>
        <w:rPr>
          <w:rFonts w:hint="eastAsia" w:ascii="宋体" w:hAnsi="宋体" w:eastAsia="宋体" w:cs="宋体"/>
          <w:color w:val="000000"/>
          <w:sz w:val="24"/>
          <w:szCs w:val="24"/>
          <w:highlight w:val="none"/>
        </w:rPr>
      </w:r>
      <w:r/>
    </w:p>
    <w:p>
      <w:pPr>
        <w:pStyle w:val="801"/>
        <w:ind w:left="0" w:right="0"/>
        <w:jc w:val="both"/>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17.4  质量保证金</w:t>
      </w:r>
      <w:r>
        <w:rPr>
          <w:rFonts w:hint="eastAsia" w:ascii="宋体" w:hAnsi="宋体" w:eastAsia="宋体" w:cs="宋体"/>
          <w:b/>
          <w:bCs/>
          <w:color w:val="000000"/>
          <w:sz w:val="24"/>
          <w:szCs w:val="24"/>
          <w:highlight w:val="none"/>
        </w:rPr>
      </w:r>
      <w:r/>
    </w:p>
    <w:p>
      <w:pPr>
        <w:pStyle w:val="801"/>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竣工验收证书签发后 14 天内，承包人应向发包人缴纳质量保证金。</w:t>
      </w:r>
      <w:r>
        <w:rPr>
          <w:rFonts w:hint="eastAsia" w:ascii="宋体" w:hAnsi="宋体" w:eastAsia="宋体" w:cs="宋体"/>
          <w:color w:val="000000"/>
          <w:sz w:val="24"/>
          <w:szCs w:val="24"/>
          <w:highlight w:val="none"/>
        </w:rPr>
      </w:r>
      <w:r/>
    </w:p>
    <w:p>
      <w:pPr>
        <w:pStyle w:val="801"/>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质量保证金百分比：</w:t>
      </w:r>
      <w:r>
        <w:rPr>
          <w:rFonts w:hint="eastAsia" w:ascii="宋体" w:hAnsi="宋体" w:eastAsia="宋体" w:cs="宋体"/>
          <w:color w:val="000000"/>
          <w:sz w:val="24"/>
          <w:szCs w:val="24"/>
          <w:highlight w:val="none"/>
          <w:u w:val="single"/>
        </w:rPr>
        <w:t xml:space="preserve"> 3 </w:t>
      </w:r>
      <w:r>
        <w:rPr>
          <w:rFonts w:hint="eastAsia" w:ascii="宋体" w:hAnsi="宋体" w:eastAsia="宋体" w:cs="宋体"/>
          <w:color w:val="000000"/>
          <w:sz w:val="24"/>
          <w:szCs w:val="24"/>
          <w:highlight w:val="none"/>
        </w:rPr>
        <w:t xml:space="preserve">%结算价款</w:t>
      </w:r>
      <w:r>
        <w:rPr>
          <w:rFonts w:hint="eastAsia" w:ascii="宋体" w:hAnsi="宋体" w:eastAsia="宋体" w:cs="宋体"/>
          <w:color w:val="000000"/>
          <w:sz w:val="24"/>
          <w:szCs w:val="24"/>
          <w:highlight w:val="none"/>
        </w:rPr>
      </w:r>
      <w:r/>
    </w:p>
    <w:p>
      <w:pPr>
        <w:pStyle w:val="801"/>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质量保证金可采用银行保函或现金、支票等形式，采用银行保函时，出具保函的银行须具有相应担保能力，且按照发包人批准的格式出具，所需费用由承包人承担。</w:t>
      </w:r>
      <w:r>
        <w:rPr>
          <w:rFonts w:hint="eastAsia" w:ascii="宋体" w:hAnsi="宋体" w:eastAsia="宋体" w:cs="宋体"/>
          <w:color w:val="000000"/>
          <w:sz w:val="24"/>
          <w:szCs w:val="24"/>
          <w:highlight w:val="none"/>
        </w:rPr>
      </w:r>
      <w:r/>
    </w:p>
    <w:p>
      <w:pPr>
        <w:pStyle w:val="801"/>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质量保证金采用现金、支票形式的，不计利息。</w:t>
      </w:r>
      <w:r>
        <w:rPr>
          <w:rFonts w:hint="eastAsia" w:ascii="宋体" w:hAnsi="宋体" w:eastAsia="宋体" w:cs="宋体"/>
          <w:color w:val="000000"/>
          <w:sz w:val="24"/>
          <w:szCs w:val="24"/>
          <w:highlight w:val="none"/>
        </w:rPr>
      </w:r>
      <w:r/>
    </w:p>
    <w:p>
      <w:pPr>
        <w:pStyle w:val="801"/>
        <w:ind w:left="0" w:right="0"/>
        <w:jc w:val="both"/>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17.6  最终结清</w:t>
      </w:r>
      <w:r>
        <w:rPr>
          <w:rFonts w:hint="eastAsia" w:ascii="宋体" w:hAnsi="宋体" w:eastAsia="宋体" w:cs="宋体"/>
          <w:b/>
          <w:bCs/>
          <w:color w:val="000000"/>
          <w:sz w:val="24"/>
          <w:szCs w:val="24"/>
          <w:highlight w:val="none"/>
        </w:rPr>
      </w:r>
      <w:r/>
    </w:p>
    <w:p>
      <w:pPr>
        <w:pStyle w:val="801"/>
        <w:ind w:left="0" w:right="0" w:firstLine="480"/>
        <w:jc w:val="both"/>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17.6.1最终结清申请单</w:t>
      </w:r>
      <w:r>
        <w:rPr>
          <w:rFonts w:hint="eastAsia" w:ascii="宋体" w:hAnsi="宋体" w:eastAsia="宋体" w:cs="宋体"/>
          <w:bCs/>
          <w:color w:val="000000"/>
          <w:sz w:val="24"/>
          <w:szCs w:val="24"/>
          <w:highlight w:val="none"/>
        </w:rPr>
      </w:r>
      <w:r/>
    </w:p>
    <w:p>
      <w:pPr>
        <w:pStyle w:val="801"/>
        <w:ind w:left="0" w:right="0" w:firstLine="482"/>
        <w:jc w:val="both"/>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增加以下条款：</w:t>
      </w:r>
      <w:r>
        <w:rPr>
          <w:rFonts w:hint="eastAsia" w:ascii="宋体" w:hAnsi="宋体" w:eastAsia="宋体" w:cs="宋体"/>
          <w:b/>
          <w:bCs/>
          <w:color w:val="000000"/>
          <w:sz w:val="24"/>
          <w:szCs w:val="24"/>
          <w:highlight w:val="none"/>
          <w:lang w:val="en-US" w:eastAsia="zh-CN"/>
        </w:rPr>
      </w:r>
      <w:r/>
    </w:p>
    <w:p>
      <w:pPr>
        <w:pStyle w:val="801"/>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⑶缺陷责任期终止证书签发后，承包人应在60天内向监理人提交最终结清申请单一式</w:t>
      </w:r>
      <w:r>
        <w:rPr>
          <w:rFonts w:hint="eastAsia" w:ascii="宋体" w:hAnsi="宋体" w:eastAsia="宋体" w:cs="宋体"/>
          <w:bCs/>
          <w:color w:val="000000"/>
          <w:sz w:val="24"/>
          <w:szCs w:val="24"/>
          <w:highlight w:val="none"/>
          <w:u w:val="single"/>
        </w:rPr>
        <w:t xml:space="preserve">4 </w:t>
      </w:r>
      <w:r>
        <w:rPr>
          <w:rFonts w:hint="eastAsia" w:ascii="宋体" w:hAnsi="宋体" w:eastAsia="宋体" w:cs="宋体"/>
          <w:bCs/>
          <w:color w:val="000000"/>
          <w:sz w:val="24"/>
          <w:szCs w:val="24"/>
          <w:highlight w:val="none"/>
        </w:rPr>
        <w:t xml:space="preserve">份。</w:t>
      </w:r>
      <w:r>
        <w:rPr>
          <w:rFonts w:hint="eastAsia" w:ascii="宋体" w:hAnsi="宋体" w:eastAsia="宋体" w:cs="宋体"/>
          <w:color w:val="000000"/>
          <w:sz w:val="24"/>
          <w:szCs w:val="24"/>
          <w:highlight w:val="none"/>
        </w:rPr>
      </w:r>
      <w:r/>
    </w:p>
    <w:p>
      <w:pPr>
        <w:pStyle w:val="801"/>
        <w:ind w:left="0" w:right="0" w:firstLine="482"/>
        <w:jc w:val="both"/>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pPr>
      <w:r/>
      <w:bookmarkStart w:id="138" w:name="_Toc139878173"/>
      <w:r/>
      <w:bookmarkStart w:id="139" w:name="_Toc149446727"/>
      <w:r/>
      <w:bookmarkStart w:id="140" w:name="_Toc173317103"/>
      <w:r/>
      <w:bookmarkStart w:id="141" w:name="_Toc149387856"/>
      <w:r/>
      <w:bookmarkStart w:id="142" w:name="_Toc149442664"/>
      <w:r/>
      <w:bookmarkStart w:id="143" w:name="_Toc149386767"/>
      <w:r/>
      <w:bookmarkStart w:id="144" w:name="_Toc149385688"/>
      <w:r/>
      <w:bookmarkStart w:id="145" w:name="_Toc149446274"/>
      <w:r/>
      <w:bookmarkStart w:id="146" w:name="_Toc149976107"/>
      <w:r/>
      <w:bookmarkStart w:id="147" w:name="_Toc147374653"/>
      <w:r/>
      <w:bookmarkStart w:id="148" w:name="_Toc149447311"/>
      <w:r/>
      <w:bookmarkStart w:id="149" w:name="_Toc139075092"/>
      <w:r/>
      <w:bookmarkStart w:id="150" w:name="_Toc149630609"/>
      <w:r/>
      <w:bookmarkStart w:id="151" w:name="_Toc139856275"/>
      <w:r/>
      <w:bookmarkStart w:id="152" w:name="_Toc149386312"/>
      <w:r/>
      <w:bookmarkStart w:id="153" w:name="_Toc149386002"/>
      <w:r/>
      <w:bookmarkStart w:id="154" w:name="_Toc137460003"/>
      <w:r/>
      <w:bookmarkStart w:id="155" w:name="_Toc149386481"/>
      <w:r/>
      <w:bookmarkStart w:id="156" w:name="_Toc139183339"/>
      <w:r/>
      <w:bookmarkStart w:id="157" w:name="_Toc173056194"/>
      <w:r/>
      <w:bookmarkStart w:id="158" w:name="_Toc137461290"/>
      <w:r/>
      <w:bookmarkStart w:id="159" w:name="_Toc173844061"/>
      <w:r/>
      <w:bookmarkStart w:id="160" w:name="_Toc186099733"/>
      <w:r>
        <w:rPr>
          <w:rFonts w:hint="eastAsia" w:ascii="宋体" w:hAnsi="宋体" w:eastAsia="宋体" w:cs="宋体"/>
          <w:b/>
          <w:bCs/>
          <w:color w:val="000000"/>
          <w:sz w:val="24"/>
          <w:szCs w:val="24"/>
          <w:highlight w:val="none"/>
          <w:lang w:val="en-US" w:eastAsia="zh-CN"/>
        </w:rPr>
        <w:t xml:space="preserve">增加以下条款：</w:t>
      </w:r>
      <w:r>
        <w:rPr>
          <w:rFonts w:hint="eastAsia" w:ascii="宋体" w:hAnsi="宋体" w:eastAsia="宋体" w:cs="宋体"/>
          <w:b/>
          <w:bCs/>
          <w:color w:val="000000"/>
          <w:sz w:val="24"/>
          <w:szCs w:val="24"/>
          <w:highlight w:val="none"/>
          <w:lang w:val="en-US" w:eastAsia="zh-CN"/>
        </w:rPr>
      </w:r>
      <w:r/>
    </w:p>
    <w:p>
      <w:pPr>
        <w:pStyle w:val="801"/>
        <w:ind w:left="0" w:right="0"/>
        <w:jc w:val="both"/>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17.7 </w:t>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rPr>
          <w:rFonts w:hint="eastAsia" w:ascii="宋体" w:hAnsi="宋体" w:eastAsia="宋体" w:cs="宋体"/>
          <w:b/>
          <w:color w:val="000000"/>
          <w:sz w:val="24"/>
          <w:szCs w:val="24"/>
          <w:highlight w:val="none"/>
        </w:rPr>
        <w:t xml:space="preserve">农民工工资保障金</w:t>
      </w:r>
      <w:bookmarkEnd w:id="159"/>
      <w:r/>
      <w:bookmarkEnd w:id="160"/>
      <w:r>
        <w:rPr>
          <w:rFonts w:hint="eastAsia" w:ascii="宋体" w:hAnsi="宋体" w:eastAsia="宋体" w:cs="宋体"/>
          <w:b/>
          <w:color w:val="000000"/>
          <w:sz w:val="24"/>
          <w:szCs w:val="24"/>
          <w:highlight w:val="none"/>
        </w:rPr>
      </w:r>
      <w:r/>
    </w:p>
    <w:p>
      <w:pPr>
        <w:pStyle w:val="801"/>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⑴</w:t>
      </w:r>
      <w:r>
        <w:rPr>
          <w:rFonts w:hint="eastAsia" w:ascii="宋体" w:hAnsi="宋体" w:eastAsia="宋体" w:cs="宋体"/>
          <w:b/>
          <w:color w:val="000000"/>
          <w:sz w:val="24"/>
          <w:szCs w:val="24"/>
          <w:highlight w:val="none"/>
        </w:rPr>
        <w:t xml:space="preserve">承包人要认真贯彻落实《劳动法》、《保障农民工工资支付条例》、《关于印发江苏省</w:t>
      </w:r>
      <w:r>
        <w:rPr>
          <w:rFonts w:hint="eastAsia" w:ascii="宋体" w:hAnsi="宋体" w:eastAsia="宋体" w:cs="宋体"/>
          <w:b/>
          <w:color w:val="000000"/>
          <w:sz w:val="24"/>
          <w:szCs w:val="24"/>
          <w:highlight w:val="none"/>
        </w:rPr>
        <w:t xml:space="preserve">工程建设领域农民工工资支付管理办法的通知》（苏建建管〔2016〕707号文件）、《省交通运输厅关于交通工程建设领域农民工工资支付管理的实施意见（试行）》（苏交建〔2018〕25号）、《交通运输部关于公路水运工程建设领域保障农民工工资支付的意见》（交公路规〔2020〕5号）、《省交通运输厅关于交通工程建设领域农民工工资专用账户管理的补充通知》（苏交传〔2020〕398号）、《省交通运输厅关于交通工程建设领域保障农民工工资支付的意见》（苏交规〔2021〕2号）等国家及省市相关法律法规有关禁止拖欠民工工资的要求；</w:t>
      </w:r>
      <w:r>
        <w:rPr>
          <w:rFonts w:hint="eastAsia" w:ascii="宋体" w:hAnsi="宋体" w:eastAsia="宋体" w:cs="宋体"/>
          <w:b/>
          <w:bCs/>
          <w:color w:val="000000"/>
          <w:sz w:val="24"/>
          <w:szCs w:val="24"/>
          <w:highlight w:val="none"/>
        </w:rPr>
        <w:t xml:space="preserve">农民工工资与工程款实行分</w:t>
      </w:r>
      <w:r>
        <w:rPr>
          <w:rFonts w:hint="eastAsia" w:ascii="宋体" w:hAnsi="宋体" w:eastAsia="宋体" w:cs="宋体"/>
          <w:b/>
          <w:bCs/>
          <w:color w:val="000000"/>
          <w:sz w:val="24"/>
          <w:szCs w:val="24"/>
          <w:highlight w:val="none"/>
        </w:rPr>
        <w:t xml:space="preserve">账管理，施工总承包企业应当按照《关于印发〈江苏省工程建设领域农民工工资专用账户管理细则〉的通知》（苏人社规〔2022〕3号）的规定在工程项目所在地银行开设农民工工资专用账户（如需），并按照《关于印发〈江苏省工程建设领域农民工工资保证金管理办法〉的通知》（苏人社规〔2022〕4号）规定缴存农民工工资保证金（如需）。承包人还应采取必要措施保证不拖欠民工工资。合同实施中，发包人将对此进行督查考核，并将考核结果纳入承包人信用等级评价；合同实施过程中，因承包人原因而造成的农民工上访等一切风险因素及后果承包人自行承担。</w:t>
      </w:r>
      <w:r>
        <w:rPr>
          <w:rFonts w:hint="eastAsia" w:ascii="宋体" w:hAnsi="宋体" w:eastAsia="宋体" w:cs="宋体"/>
          <w:color w:val="000000"/>
          <w:sz w:val="24"/>
          <w:szCs w:val="24"/>
          <w:highlight w:val="none"/>
        </w:rPr>
      </w:r>
      <w:r/>
    </w:p>
    <w:p>
      <w:pPr>
        <w:pStyle w:val="801"/>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⑵承包人的项目经理部是民工工资支付行为的主体，承包人的项目经理是民工工资支付的责任人。项目经理部要建立全体民工花名册和工资支付表，确保将工资直接发放给民工本人，或委托银行发放民工工资，严禁发放给“包工头”或其他不具备用工主体资格的组织和个人。承包人的分包单位雇佣民工的，将要求分包单位按照规定签订劳动合同，并负责督促其按照合同规定及时结付民工工资。如因承包人未按合同约定与分包单位结清工程款，致使后者拖欠民工工资的，将由承包人先行垫付欠款。承包人对分包单位清偿拖欠民工工资负总责。</w:t>
      </w:r>
      <w:r>
        <w:rPr>
          <w:rFonts w:hint="eastAsia" w:ascii="宋体" w:hAnsi="宋体" w:eastAsia="宋体" w:cs="宋体"/>
          <w:color w:val="000000"/>
          <w:sz w:val="24"/>
          <w:szCs w:val="24"/>
          <w:highlight w:val="none"/>
        </w:rPr>
      </w:r>
      <w:r/>
    </w:p>
    <w:p>
      <w:pPr>
        <w:pStyle w:val="801"/>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⑶如果发生违反规定拖欠或克扣农民工工资行为，造成农民工上访，发包人将上报上级交通运输行政主管部门并依照有关规定对其作出其它处罚决定。</w:t>
      </w:r>
      <w:r>
        <w:rPr>
          <w:rFonts w:hint="eastAsia" w:ascii="宋体" w:hAnsi="宋体" w:eastAsia="宋体" w:cs="宋体"/>
          <w:color w:val="000000"/>
          <w:sz w:val="24"/>
          <w:szCs w:val="24"/>
          <w:highlight w:val="none"/>
        </w:rPr>
      </w:r>
      <w:r/>
    </w:p>
    <w:p>
      <w:pPr>
        <w:pStyle w:val="801"/>
        <w:ind w:left="0" w:right="0"/>
        <w:jc w:val="both"/>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18  竣工验收</w:t>
      </w:r>
      <w:r>
        <w:rPr>
          <w:rFonts w:hint="eastAsia" w:ascii="宋体" w:hAnsi="宋体" w:eastAsia="宋体" w:cs="宋体"/>
          <w:b/>
          <w:bCs/>
          <w:color w:val="000000"/>
          <w:sz w:val="24"/>
          <w:szCs w:val="24"/>
          <w:highlight w:val="none"/>
        </w:rPr>
      </w:r>
      <w:r/>
    </w:p>
    <w:p>
      <w:pPr>
        <w:pStyle w:val="801"/>
        <w:ind w:left="0" w:right="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18.1  竣工验收的含义</w:t>
      </w:r>
      <w:r>
        <w:rPr>
          <w:rFonts w:hint="eastAsia" w:ascii="宋体" w:hAnsi="宋体" w:eastAsia="宋体" w:cs="宋体"/>
          <w:color w:val="000000"/>
          <w:sz w:val="24"/>
          <w:szCs w:val="24"/>
          <w:highlight w:val="none"/>
        </w:rPr>
      </w:r>
      <w:r/>
    </w:p>
    <w:p>
      <w:pPr>
        <w:pStyle w:val="801"/>
        <w:ind w:left="0" w:right="0" w:firstLine="482"/>
        <w:jc w:val="both"/>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增加以下条款：</w:t>
      </w:r>
      <w:r>
        <w:rPr>
          <w:rFonts w:hint="eastAsia" w:ascii="宋体" w:hAnsi="宋体" w:eastAsia="宋体" w:cs="宋体"/>
          <w:b/>
          <w:bCs/>
          <w:color w:val="000000"/>
          <w:sz w:val="24"/>
          <w:szCs w:val="24"/>
          <w:highlight w:val="none"/>
          <w:lang w:val="en-US" w:eastAsia="zh-CN"/>
        </w:rPr>
      </w:r>
      <w:r/>
    </w:p>
    <w:p>
      <w:pPr>
        <w:pStyle w:val="801"/>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18.1.4  </w:t>
      </w:r>
      <w:r>
        <w:rPr>
          <w:rFonts w:hint="eastAsia" w:ascii="宋体" w:hAnsi="宋体" w:eastAsia="宋体" w:cs="宋体"/>
          <w:bCs/>
          <w:color w:val="000000"/>
          <w:sz w:val="24"/>
          <w:szCs w:val="24"/>
          <w:highlight w:val="none"/>
        </w:rPr>
        <w:t xml:space="preserve">承包人应在竣工验收14天前，向发包人提供竣工资料一式</w:t>
      </w:r>
      <w:r>
        <w:rPr>
          <w:rFonts w:hint="eastAsia" w:ascii="宋体" w:hAnsi="宋体" w:eastAsia="宋体" w:cs="宋体"/>
          <w:bCs/>
          <w:color w:val="000000"/>
          <w:sz w:val="24"/>
          <w:szCs w:val="24"/>
          <w:highlight w:val="none"/>
          <w:u w:val="single"/>
        </w:rPr>
        <w:t xml:space="preserve">4</w:t>
      </w:r>
      <w:r>
        <w:rPr>
          <w:rFonts w:hint="eastAsia" w:ascii="宋体" w:hAnsi="宋体" w:eastAsia="宋体" w:cs="宋体"/>
          <w:bCs/>
          <w:color w:val="000000"/>
          <w:sz w:val="24"/>
          <w:szCs w:val="24"/>
          <w:highlight w:val="none"/>
        </w:rPr>
        <w:t xml:space="preserve">份，</w:t>
      </w:r>
      <w:r>
        <w:rPr>
          <w:rFonts w:hint="eastAsia" w:ascii="宋体" w:hAnsi="宋体" w:eastAsia="宋体" w:cs="宋体"/>
          <w:bCs/>
          <w:color w:val="000000"/>
          <w:sz w:val="24"/>
          <w:szCs w:val="24"/>
          <w:highlight w:val="none"/>
          <w:lang w:val="en-US" w:eastAsia="zh-CN"/>
        </w:rPr>
        <w:t xml:space="preserve">电子化</w:t>
      </w:r>
      <w:r>
        <w:rPr>
          <w:rFonts w:hint="eastAsia" w:ascii="宋体" w:hAnsi="宋体" w:eastAsia="宋体" w:cs="宋体"/>
          <w:bCs/>
          <w:color w:val="000000"/>
          <w:sz w:val="24"/>
          <w:szCs w:val="24"/>
          <w:highlight w:val="none"/>
        </w:rPr>
        <w:t xml:space="preserve">声像资料一式</w:t>
      </w:r>
      <w:r>
        <w:rPr>
          <w:rFonts w:hint="eastAsia" w:ascii="宋体" w:hAnsi="宋体" w:eastAsia="宋体" w:cs="宋体"/>
          <w:bCs/>
          <w:color w:val="000000"/>
          <w:sz w:val="24"/>
          <w:szCs w:val="24"/>
          <w:highlight w:val="none"/>
          <w:u w:val="single"/>
        </w:rPr>
        <w:t xml:space="preserve">4</w:t>
      </w:r>
      <w:r>
        <w:rPr>
          <w:rFonts w:hint="eastAsia" w:ascii="宋体" w:hAnsi="宋体" w:eastAsia="宋体" w:cs="宋体"/>
          <w:bCs/>
          <w:color w:val="000000"/>
          <w:sz w:val="24"/>
          <w:szCs w:val="24"/>
          <w:highlight w:val="none"/>
        </w:rPr>
        <w:t xml:space="preserve">份。</w:t>
      </w:r>
      <w:r>
        <w:rPr>
          <w:rFonts w:hint="eastAsia" w:ascii="宋体" w:hAnsi="宋体" w:eastAsia="宋体" w:cs="宋体"/>
          <w:color w:val="000000"/>
          <w:sz w:val="24"/>
          <w:szCs w:val="24"/>
          <w:highlight w:val="none"/>
        </w:rPr>
      </w:r>
      <w:r/>
    </w:p>
    <w:p>
      <w:pPr>
        <w:pStyle w:val="801"/>
        <w:ind w:left="0" w:right="0"/>
        <w:jc w:val="both"/>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19  缺陷责任与保修责任</w:t>
      </w:r>
      <w:r>
        <w:rPr>
          <w:rFonts w:hint="eastAsia" w:ascii="宋体" w:hAnsi="宋体" w:eastAsia="宋体" w:cs="宋体"/>
          <w:b/>
          <w:bCs/>
          <w:color w:val="000000"/>
          <w:sz w:val="24"/>
          <w:szCs w:val="24"/>
          <w:highlight w:val="none"/>
        </w:rPr>
      </w:r>
      <w:r/>
    </w:p>
    <w:p>
      <w:pPr>
        <w:pStyle w:val="801"/>
        <w:ind w:left="0" w:right="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19.1  缺陷责任期的起算时间</w:t>
      </w:r>
      <w:r>
        <w:rPr>
          <w:rFonts w:hint="eastAsia" w:ascii="宋体" w:hAnsi="宋体" w:eastAsia="宋体" w:cs="宋体"/>
          <w:color w:val="000000"/>
          <w:sz w:val="24"/>
          <w:szCs w:val="24"/>
          <w:highlight w:val="none"/>
        </w:rPr>
      </w:r>
      <w:r/>
    </w:p>
    <w:p>
      <w:pPr>
        <w:pStyle w:val="801"/>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19.1.1 缺陷责任期从工程竣工验收合格之日起算，分别为：</w:t>
      </w:r>
      <w:r>
        <w:rPr>
          <w:rFonts w:hint="eastAsia" w:ascii="宋体" w:hAnsi="宋体" w:eastAsia="宋体" w:cs="宋体"/>
          <w:color w:val="000000"/>
          <w:sz w:val="24"/>
          <w:szCs w:val="24"/>
          <w:highlight w:val="none"/>
        </w:rPr>
      </w:r>
      <w:r/>
    </w:p>
    <w:p>
      <w:pPr>
        <w:pStyle w:val="801"/>
        <w:ind w:left="0" w:right="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⑴疏浚工程不设缺陷责任期；</w:t>
      </w:r>
      <w:r>
        <w:rPr>
          <w:rFonts w:hint="eastAsia" w:ascii="宋体" w:hAnsi="宋体" w:eastAsia="宋体" w:cs="宋体"/>
          <w:color w:val="000000"/>
          <w:sz w:val="24"/>
          <w:szCs w:val="24"/>
          <w:highlight w:val="none"/>
        </w:rPr>
      </w:r>
      <w:r/>
    </w:p>
    <w:p>
      <w:pPr>
        <w:pStyle w:val="801"/>
        <w:ind w:left="0" w:right="0"/>
        <w:jc w:val="both"/>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⑵水工工程缺陷责任期为两年；</w:t>
      </w:r>
      <w:r>
        <w:rPr>
          <w:rFonts w:hint="eastAsia" w:ascii="宋体" w:hAnsi="宋体" w:eastAsia="宋体" w:cs="宋体"/>
          <w:bCs/>
          <w:color w:val="000000"/>
          <w:sz w:val="24"/>
          <w:szCs w:val="24"/>
          <w:highlight w:val="none"/>
        </w:rPr>
      </w:r>
      <w:r/>
    </w:p>
    <w:p>
      <w:pPr>
        <w:pStyle w:val="801"/>
        <w:ind w:left="0" w:right="0"/>
        <w:jc w:val="both"/>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bCs/>
          <w:color w:val="000000"/>
          <w:sz w:val="24"/>
          <w:szCs w:val="24"/>
          <w:highlight w:val="none"/>
        </w:rPr>
        <w:t xml:space="preserve">其他工程：符合相关行业的规定。</w:t>
      </w:r>
      <w:r>
        <w:rPr>
          <w:rFonts w:hint="eastAsia" w:ascii="宋体" w:hAnsi="宋体" w:eastAsia="宋体" w:cs="宋体"/>
          <w:bCs/>
          <w:color w:val="000000"/>
          <w:sz w:val="24"/>
          <w:szCs w:val="24"/>
          <w:highlight w:val="none"/>
        </w:rPr>
      </w:r>
      <w:r/>
    </w:p>
    <w:p>
      <w:pPr>
        <w:pStyle w:val="801"/>
        <w:ind w:left="0" w:right="0"/>
        <w:jc w:val="both"/>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19.7  保修责任</w:t>
      </w:r>
      <w:r>
        <w:rPr>
          <w:rFonts w:hint="eastAsia" w:ascii="宋体" w:hAnsi="宋体" w:eastAsia="宋体" w:cs="宋体"/>
          <w:b/>
          <w:color w:val="000000"/>
          <w:sz w:val="24"/>
          <w:szCs w:val="24"/>
          <w:highlight w:val="none"/>
        </w:rPr>
      </w:r>
      <w:r/>
    </w:p>
    <w:p>
      <w:pPr>
        <w:pStyle w:val="801"/>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19.7.1 工程质量保修责任：承包人在工程保修期内有责任返修因承包人原因造成的任何工程缺陷或损坏，返修费用由承包人承担。因发包人使用不当或其他非承包人原因造成的损坏，承包人应协助修复，费用由发包人承担。</w:t>
      </w:r>
      <w:r>
        <w:rPr>
          <w:rFonts w:hint="eastAsia" w:ascii="宋体" w:hAnsi="宋体" w:eastAsia="宋体" w:cs="宋体"/>
          <w:color w:val="000000"/>
          <w:sz w:val="24"/>
          <w:szCs w:val="24"/>
          <w:highlight w:val="none"/>
        </w:rPr>
      </w:r>
      <w:r/>
    </w:p>
    <w:p>
      <w:pPr>
        <w:pStyle w:val="801"/>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19.7.2保修期内，对应由承包人负责的保修内容，承包人应在接到发包人或监理人书面返修通知后 48小时内到达现场确认缺陷情况，7 天内完成返修（复杂情况经发包人书面同意可适当延长）。逾期未到场或未按期完成的，发包人有权自行或委托第三方修复，所产生费用由承包人承担。</w:t>
      </w:r>
      <w:r>
        <w:rPr>
          <w:rFonts w:hint="eastAsia" w:ascii="宋体" w:hAnsi="宋体" w:eastAsia="宋体" w:cs="宋体"/>
          <w:color w:val="000000"/>
          <w:sz w:val="24"/>
          <w:szCs w:val="24"/>
          <w:highlight w:val="none"/>
        </w:rPr>
      </w:r>
      <w:r/>
    </w:p>
    <w:p>
      <w:pPr>
        <w:pStyle w:val="801"/>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19.7.3 工程保修期终止后 28 天内，监理人签发保修期终止证书。</w:t>
      </w:r>
      <w:r>
        <w:rPr>
          <w:rFonts w:hint="eastAsia" w:ascii="宋体" w:hAnsi="宋体" w:eastAsia="宋体" w:cs="宋体"/>
          <w:color w:val="000000"/>
          <w:sz w:val="24"/>
          <w:szCs w:val="24"/>
          <w:highlight w:val="none"/>
        </w:rPr>
      </w:r>
      <w:r/>
    </w:p>
    <w:p>
      <w:pPr>
        <w:pStyle w:val="801"/>
        <w:ind w:left="0" w:right="0"/>
        <w:jc w:val="both"/>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20  保险</w:t>
      </w:r>
      <w:r>
        <w:rPr>
          <w:rFonts w:hint="eastAsia" w:ascii="宋体" w:hAnsi="宋体" w:eastAsia="宋体" w:cs="宋体"/>
          <w:b/>
          <w:color w:val="000000"/>
          <w:sz w:val="24"/>
          <w:szCs w:val="24"/>
          <w:highlight w:val="none"/>
        </w:rPr>
      </w:r>
      <w:r/>
    </w:p>
    <w:p>
      <w:pPr>
        <w:pStyle w:val="801"/>
        <w:ind w:left="0" w:right="0"/>
        <w:jc w:val="both"/>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20.1 工程保险</w:t>
      </w:r>
      <w:r>
        <w:rPr>
          <w:rFonts w:hint="eastAsia" w:ascii="宋体" w:hAnsi="宋体" w:eastAsia="宋体" w:cs="宋体"/>
          <w:b/>
          <w:color w:val="000000"/>
          <w:sz w:val="24"/>
          <w:szCs w:val="24"/>
          <w:highlight w:val="none"/>
        </w:rPr>
      </w:r>
      <w:r/>
    </w:p>
    <w:p>
      <w:pPr>
        <w:pStyle w:val="801"/>
        <w:ind w:left="0" w:right="0"/>
        <w:jc w:val="both"/>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
          <w:color w:val="000000"/>
          <w:sz w:val="24"/>
          <w:szCs w:val="24"/>
          <w:highlight w:val="none"/>
        </w:rPr>
        <w:t xml:space="preserve">   </w:t>
      </w:r>
      <w:r>
        <w:rPr>
          <w:rFonts w:hint="eastAsia" w:ascii="宋体" w:hAnsi="宋体" w:eastAsia="宋体" w:cs="宋体"/>
          <w:bCs/>
          <w:color w:val="000000"/>
          <w:sz w:val="24"/>
          <w:szCs w:val="24"/>
          <w:highlight w:val="none"/>
        </w:rPr>
        <w:t xml:space="preserve">本项目的工程一切险与第三方责任险以及承包人装备财产险与承包人雇员人身事故险等由投标人投保，上述保险的一切费用包含在所报的投标总价中，不单独计量与支付。</w:t>
      </w:r>
      <w:r>
        <w:rPr>
          <w:rFonts w:hint="eastAsia" w:ascii="宋体" w:hAnsi="宋体" w:eastAsia="宋体" w:cs="宋体"/>
          <w:bCs/>
          <w:color w:val="000000"/>
          <w:sz w:val="24"/>
          <w:szCs w:val="24"/>
          <w:highlight w:val="none"/>
        </w:rPr>
      </w:r>
      <w:r/>
    </w:p>
    <w:p>
      <w:pPr>
        <w:pStyle w:val="801"/>
        <w:ind w:left="0" w:right="0"/>
        <w:jc w:val="both"/>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21  不可抗力</w:t>
      </w:r>
      <w:r>
        <w:rPr>
          <w:rFonts w:hint="eastAsia" w:ascii="宋体" w:hAnsi="宋体" w:eastAsia="宋体" w:cs="宋体"/>
          <w:b/>
          <w:color w:val="000000"/>
          <w:sz w:val="24"/>
          <w:szCs w:val="24"/>
          <w:highlight w:val="none"/>
        </w:rPr>
      </w:r>
      <w:r/>
    </w:p>
    <w:p>
      <w:pPr>
        <w:pStyle w:val="801"/>
        <w:ind w:left="0" w:right="0"/>
        <w:jc w:val="both"/>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21.1 不可抗力的确认</w:t>
      </w:r>
      <w:r>
        <w:rPr>
          <w:rFonts w:hint="eastAsia" w:ascii="宋体" w:hAnsi="宋体" w:eastAsia="宋体" w:cs="宋体"/>
          <w:b/>
          <w:color w:val="000000"/>
          <w:sz w:val="24"/>
          <w:szCs w:val="24"/>
          <w:highlight w:val="none"/>
        </w:rPr>
      </w:r>
      <w:r/>
    </w:p>
    <w:p>
      <w:pPr>
        <w:pStyle w:val="801"/>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21.1.1 项细化为：</w:t>
      </w:r>
      <w:r>
        <w:rPr>
          <w:rFonts w:hint="eastAsia" w:ascii="宋体" w:hAnsi="宋体" w:eastAsia="宋体" w:cs="宋体"/>
          <w:color w:val="000000"/>
          <w:sz w:val="24"/>
          <w:szCs w:val="24"/>
          <w:highlight w:val="none"/>
        </w:rPr>
      </w:r>
      <w:r/>
    </w:p>
    <w:p>
      <w:pPr>
        <w:pStyle w:val="801"/>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21.1.1 不可抗力是指承包人和发包人在订立合同时不可预见，在工程施工过程中不可避免发生并不能克服的自然灾害和社会性突发事件。包括但不限于：</w:t>
      </w:r>
      <w:r>
        <w:rPr>
          <w:rFonts w:hint="eastAsia" w:ascii="宋体" w:hAnsi="宋体" w:eastAsia="宋体" w:cs="宋体"/>
          <w:color w:val="000000"/>
          <w:sz w:val="24"/>
          <w:szCs w:val="24"/>
          <w:highlight w:val="none"/>
        </w:rPr>
      </w:r>
      <w:r/>
    </w:p>
    <w:p>
      <w:pPr>
        <w:pStyle w:val="801"/>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⑴地震、海啸、火山爆发、泥石流、暴雨(雪)、台风、龙卷风、水灾等自然灾害；</w:t>
      </w:r>
      <w:r>
        <w:rPr>
          <w:rFonts w:hint="eastAsia" w:ascii="宋体" w:hAnsi="宋体" w:eastAsia="宋体" w:cs="宋体"/>
          <w:color w:val="000000"/>
          <w:sz w:val="24"/>
          <w:szCs w:val="24"/>
          <w:highlight w:val="none"/>
        </w:rPr>
      </w:r>
      <w:r/>
    </w:p>
    <w:p>
      <w:pPr>
        <w:pStyle w:val="801"/>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⑵)战争、骚乱、暴动，但纯属承包人或其分包人派遣与雇用的人员由于本标段施工原因引起者除外；</w:t>
      </w:r>
      <w:r>
        <w:rPr>
          <w:rFonts w:hint="eastAsia" w:ascii="宋体" w:hAnsi="宋体" w:eastAsia="宋体" w:cs="宋体"/>
          <w:color w:val="000000"/>
          <w:sz w:val="24"/>
          <w:szCs w:val="24"/>
          <w:highlight w:val="none"/>
        </w:rPr>
      </w:r>
      <w:r/>
    </w:p>
    <w:p>
      <w:pPr>
        <w:pStyle w:val="801"/>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⑶核反应、辐射或放射性污染；</w:t>
      </w:r>
      <w:r>
        <w:rPr>
          <w:rFonts w:hint="eastAsia" w:ascii="宋体" w:hAnsi="宋体" w:eastAsia="宋体" w:cs="宋体"/>
          <w:color w:val="000000"/>
          <w:sz w:val="24"/>
          <w:szCs w:val="24"/>
          <w:highlight w:val="none"/>
        </w:rPr>
      </w:r>
      <w:r/>
    </w:p>
    <w:p>
      <w:pPr>
        <w:pStyle w:val="801"/>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⑷空中飞行物体坠落或非发包人或承包人责任造成的爆炸、火灾；</w:t>
      </w:r>
      <w:r>
        <w:rPr>
          <w:rFonts w:hint="eastAsia" w:ascii="宋体" w:hAnsi="宋体" w:eastAsia="宋体" w:cs="宋体"/>
          <w:color w:val="000000"/>
          <w:sz w:val="24"/>
          <w:szCs w:val="24"/>
          <w:highlight w:val="none"/>
        </w:rPr>
      </w:r>
      <w:r/>
    </w:p>
    <w:p>
      <w:pPr>
        <w:pStyle w:val="801"/>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⑸)瘟疫。</w:t>
      </w:r>
      <w:r>
        <w:rPr>
          <w:rFonts w:hint="eastAsia" w:ascii="宋体" w:hAnsi="宋体" w:eastAsia="宋体" w:cs="宋体"/>
          <w:color w:val="000000"/>
          <w:sz w:val="24"/>
          <w:szCs w:val="24"/>
          <w:highlight w:val="none"/>
        </w:rPr>
      </w:r>
      <w:r/>
    </w:p>
    <w:p>
      <w:pPr>
        <w:pStyle w:val="801"/>
        <w:ind w:left="0" w:right="0"/>
        <w:jc w:val="both"/>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21.3  不可抗力后果及其处理</w:t>
      </w:r>
      <w:r>
        <w:rPr>
          <w:rFonts w:hint="eastAsia" w:ascii="宋体" w:hAnsi="宋体" w:eastAsia="宋体" w:cs="宋体"/>
          <w:b/>
          <w:color w:val="000000"/>
          <w:sz w:val="24"/>
          <w:szCs w:val="24"/>
          <w:highlight w:val="none"/>
        </w:rPr>
      </w:r>
      <w:r/>
    </w:p>
    <w:p>
      <w:pPr>
        <w:pStyle w:val="801"/>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21.3.1  不可抗力造成损害的责任</w:t>
      </w:r>
      <w:r>
        <w:rPr>
          <w:rFonts w:hint="eastAsia" w:ascii="宋体" w:hAnsi="宋体" w:eastAsia="宋体" w:cs="宋体"/>
          <w:color w:val="000000"/>
          <w:sz w:val="24"/>
          <w:szCs w:val="24"/>
          <w:highlight w:val="none"/>
        </w:rPr>
      </w:r>
      <w:r/>
    </w:p>
    <w:p>
      <w:pPr>
        <w:pStyle w:val="801"/>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本项第一句细化为：</w:t>
      </w:r>
      <w:r>
        <w:rPr>
          <w:rFonts w:hint="eastAsia" w:ascii="宋体" w:hAnsi="宋体" w:eastAsia="宋体" w:cs="宋体"/>
          <w:color w:val="000000"/>
          <w:sz w:val="24"/>
          <w:szCs w:val="24"/>
          <w:highlight w:val="none"/>
        </w:rPr>
      </w:r>
      <w:r/>
    </w:p>
    <w:p>
      <w:pPr>
        <w:pStyle w:val="801"/>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由于任何一种已投保的风险造成的损失或损害，承包人应在事故发生后根据保险方案的时限报告监理人和保险公司并向保险公司提出索赔。</w:t>
      </w:r>
      <w:r>
        <w:rPr>
          <w:rFonts w:hint="eastAsia" w:ascii="宋体" w:hAnsi="宋体" w:eastAsia="宋体" w:cs="宋体"/>
          <w:color w:val="000000"/>
          <w:sz w:val="24"/>
          <w:szCs w:val="24"/>
          <w:highlight w:val="none"/>
        </w:rPr>
      </w:r>
      <w:r/>
    </w:p>
    <w:p>
      <w:pPr>
        <w:pStyle w:val="801"/>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任何一种无法投保的风险造成的损失或损害，承包人应在监理人要求的范围内弥补损失或损害。同时，监理人应按照第23条规定在与承包人协商并报发包人批准后，确定合同价格的增加额，通知承包人，并抄送发包人。由合同双方按以下原则承担：</w:t>
      </w:r>
      <w:r>
        <w:rPr>
          <w:rFonts w:hint="eastAsia" w:ascii="宋体" w:hAnsi="宋体" w:eastAsia="宋体" w:cs="宋体"/>
          <w:color w:val="000000"/>
          <w:sz w:val="24"/>
          <w:szCs w:val="24"/>
          <w:highlight w:val="none"/>
        </w:rPr>
      </w:r>
      <w:r/>
    </w:p>
    <w:p>
      <w:pPr>
        <w:pStyle w:val="801"/>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21.3.4  因不可抗力解除合同</w:t>
      </w:r>
      <w:r>
        <w:rPr>
          <w:rFonts w:hint="eastAsia" w:ascii="宋体" w:hAnsi="宋体" w:eastAsia="宋体" w:cs="宋体"/>
          <w:color w:val="000000"/>
          <w:sz w:val="24"/>
          <w:szCs w:val="24"/>
          <w:highlight w:val="none"/>
        </w:rPr>
      </w:r>
      <w:r/>
    </w:p>
    <w:p>
      <w:pPr>
        <w:pStyle w:val="801"/>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一方当事人因不可抗力不能履行合同的，应当及时通知对方解除合同。合同解除后，承包人应按照第22.2.5项约定撤离施工场地。已经订货的材料、设备由订货方负责退货或解除订货合同，不能退还的货款和因退货、解除订货合同发生的费用，由发包人承担，因未及时退货造成的损失由责任方承担。合同解除后的付款，参照第22.2.4项约定，由监理人按第3.5款商定或确定，但由于解除合同应赔偿的承包人损失不予考虑。</w:t>
      </w:r>
      <w:r>
        <w:rPr>
          <w:rFonts w:hint="eastAsia" w:ascii="宋体" w:hAnsi="宋体" w:eastAsia="宋体" w:cs="宋体"/>
          <w:color w:val="000000"/>
          <w:sz w:val="24"/>
          <w:szCs w:val="24"/>
          <w:highlight w:val="none"/>
        </w:rPr>
      </w:r>
      <w:r/>
    </w:p>
    <w:p>
      <w:pPr>
        <w:pStyle w:val="801"/>
        <w:ind w:left="0" w:right="0"/>
        <w:jc w:val="both"/>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22  违约</w:t>
      </w:r>
      <w:r>
        <w:rPr>
          <w:rFonts w:hint="eastAsia" w:ascii="宋体" w:hAnsi="宋体" w:eastAsia="宋体" w:cs="宋体"/>
          <w:b/>
          <w:color w:val="000000"/>
          <w:sz w:val="24"/>
          <w:szCs w:val="24"/>
          <w:highlight w:val="none"/>
        </w:rPr>
      </w:r>
      <w:r/>
    </w:p>
    <w:p>
      <w:pPr>
        <w:pStyle w:val="801"/>
        <w:ind w:left="0" w:right="0"/>
        <w:jc w:val="both"/>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22.1  承包人违约</w:t>
      </w:r>
      <w:r>
        <w:rPr>
          <w:rFonts w:hint="eastAsia" w:ascii="宋体" w:hAnsi="宋体" w:eastAsia="宋体" w:cs="宋体"/>
          <w:b/>
          <w:color w:val="000000"/>
          <w:sz w:val="24"/>
          <w:szCs w:val="24"/>
          <w:highlight w:val="none"/>
        </w:rPr>
      </w:r>
      <w:r/>
    </w:p>
    <w:p>
      <w:pPr>
        <w:pStyle w:val="801"/>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补充如下内容：</w:t>
      </w:r>
      <w:r>
        <w:rPr>
          <w:rFonts w:hint="eastAsia" w:ascii="宋体" w:hAnsi="宋体" w:eastAsia="宋体" w:cs="宋体"/>
          <w:color w:val="000000"/>
          <w:sz w:val="24"/>
          <w:szCs w:val="24"/>
          <w:highlight w:val="none"/>
        </w:rPr>
      </w:r>
      <w:r/>
    </w:p>
    <w:p>
      <w:pPr>
        <w:pStyle w:val="801"/>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当承包人发生了下述违约现象之后，发包人可依据下列具体情况扣除承包人的违约金：</w:t>
      </w:r>
      <w:r>
        <w:rPr>
          <w:rFonts w:hint="eastAsia" w:ascii="宋体" w:hAnsi="宋体" w:eastAsia="宋体" w:cs="宋体"/>
          <w:color w:val="000000"/>
          <w:sz w:val="24"/>
          <w:szCs w:val="24"/>
          <w:highlight w:val="none"/>
        </w:rPr>
      </w:r>
      <w:r/>
    </w:p>
    <w:p>
      <w:pPr>
        <w:pStyle w:val="801"/>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⑴由于承包人原因造成工期延误，承包人应支付逾期竣工违约金。发包人可以从应付或到期应付给承包人的任何款项中或采用其他方法扣除此违约金。</w:t>
      </w:r>
      <w:r>
        <w:rPr>
          <w:rFonts w:hint="eastAsia" w:ascii="宋体" w:hAnsi="宋体" w:eastAsia="宋体" w:cs="宋体"/>
          <w:color w:val="000000"/>
          <w:sz w:val="24"/>
          <w:szCs w:val="24"/>
          <w:highlight w:val="none"/>
        </w:rPr>
      </w:r>
      <w:r/>
    </w:p>
    <w:p>
      <w:pPr>
        <w:pStyle w:val="801"/>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⑵承包人支付逾期竣工违约金，不免除承包人完成工程的义务。</w:t>
      </w:r>
      <w:r>
        <w:rPr>
          <w:rFonts w:hint="eastAsia" w:ascii="宋体" w:hAnsi="宋体" w:eastAsia="宋体" w:cs="宋体"/>
          <w:color w:val="000000"/>
          <w:sz w:val="24"/>
          <w:szCs w:val="24"/>
          <w:highlight w:val="none"/>
        </w:rPr>
      </w:r>
      <w:r/>
    </w:p>
    <w:p>
      <w:pPr>
        <w:pStyle w:val="801"/>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⑶如果在合同工程完成之前，已对合同工程内按时完成的单位工程签发了工程接收证书，则合同工程的逾期竣工违约金，应按已签发工程接收证书的单位工程的价值占合同工程价值的比例予以减少，但本规定不应影响逾期竣工违约金的规定限额。</w:t>
      </w:r>
      <w:r>
        <w:rPr>
          <w:rFonts w:hint="eastAsia" w:ascii="宋体" w:hAnsi="宋体" w:eastAsia="宋体" w:cs="宋体"/>
          <w:color w:val="000000"/>
          <w:sz w:val="24"/>
          <w:szCs w:val="24"/>
          <w:highlight w:val="none"/>
        </w:rPr>
      </w:r>
      <w:r/>
    </w:p>
    <w:p>
      <w:pPr>
        <w:pStyle w:val="801"/>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⑷承包人未能在开工期限内提交开工报告或按期开工，发包人将处以1000元/天罚款，并在当期工程价款支付中扣除。</w:t>
      </w:r>
      <w:r>
        <w:rPr>
          <w:rFonts w:hint="eastAsia" w:ascii="宋体" w:hAnsi="宋体" w:eastAsia="宋体" w:cs="宋体"/>
          <w:color w:val="000000"/>
          <w:sz w:val="24"/>
          <w:szCs w:val="24"/>
          <w:highlight w:val="none"/>
        </w:rPr>
      </w:r>
      <w:r/>
    </w:p>
    <w:p>
      <w:pPr>
        <w:pStyle w:val="801"/>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⑸经监理人和发包人检查，发现承包人有安全问题或有违反安全管理规章制度的情况，发包人将按照</w:t>
      </w:r>
      <w:r>
        <w:rPr>
          <w:rFonts w:hint="eastAsia" w:ascii="宋体" w:hAnsi="宋体" w:eastAsia="宋体" w:cs="宋体"/>
          <w:color w:val="000000"/>
          <w:sz w:val="24"/>
          <w:szCs w:val="24"/>
          <w:highlight w:val="none"/>
          <w:lang w:val="en-US" w:eastAsia="zh-CN"/>
        </w:rPr>
        <w:t xml:space="preserve">施工</w:t>
      </w:r>
      <w:r>
        <w:rPr>
          <w:rFonts w:hint="eastAsia" w:ascii="宋体" w:hAnsi="宋体" w:eastAsia="宋体" w:cs="宋体"/>
          <w:color w:val="000000"/>
          <w:sz w:val="24"/>
          <w:szCs w:val="24"/>
          <w:highlight w:val="none"/>
        </w:rPr>
        <w:t xml:space="preserve">安全</w:t>
      </w:r>
      <w:r>
        <w:rPr>
          <w:rFonts w:hint="eastAsia" w:ascii="宋体" w:hAnsi="宋体" w:eastAsia="宋体" w:cs="宋体"/>
          <w:color w:val="000000"/>
          <w:sz w:val="24"/>
          <w:szCs w:val="24"/>
          <w:highlight w:val="none"/>
          <w:lang w:val="en-US" w:eastAsia="zh-CN"/>
        </w:rPr>
        <w:t xml:space="preserve">管理</w:t>
      </w:r>
      <w:r>
        <w:rPr>
          <w:rFonts w:hint="eastAsia" w:ascii="宋体" w:hAnsi="宋体" w:eastAsia="宋体" w:cs="宋体"/>
          <w:color w:val="000000"/>
          <w:sz w:val="24"/>
          <w:szCs w:val="24"/>
          <w:highlight w:val="none"/>
        </w:rPr>
        <w:t xml:space="preserve">规定</w:t>
      </w:r>
      <w:r>
        <w:rPr>
          <w:rFonts w:hint="eastAsia" w:ascii="宋体" w:hAnsi="宋体" w:eastAsia="宋体" w:cs="宋体"/>
          <w:color w:val="000000"/>
          <w:sz w:val="24"/>
          <w:szCs w:val="24"/>
          <w:highlight w:val="none"/>
          <w:lang w:val="en-US" w:eastAsia="zh-CN"/>
        </w:rPr>
        <w:t xml:space="preserve">进行考核，在</w:t>
      </w:r>
      <w:r>
        <w:rPr>
          <w:rFonts w:hint="eastAsia" w:ascii="宋体" w:hAnsi="宋体" w:eastAsia="宋体" w:cs="宋体"/>
          <w:color w:val="000000"/>
          <w:sz w:val="24"/>
          <w:szCs w:val="24"/>
          <w:highlight w:val="none"/>
        </w:rPr>
        <w:t xml:space="preserve">安全生产费</w:t>
      </w:r>
      <w:r>
        <w:rPr>
          <w:rFonts w:hint="eastAsia" w:ascii="宋体" w:hAnsi="宋体" w:eastAsia="宋体" w:cs="宋体"/>
          <w:color w:val="000000"/>
          <w:sz w:val="24"/>
          <w:szCs w:val="24"/>
          <w:highlight w:val="none"/>
          <w:lang w:val="en-US" w:eastAsia="zh-CN"/>
        </w:rPr>
        <w:t xml:space="preserve">中</w:t>
      </w:r>
      <w:r>
        <w:rPr>
          <w:rFonts w:hint="eastAsia" w:ascii="宋体" w:hAnsi="宋体" w:eastAsia="宋体" w:cs="宋体"/>
          <w:color w:val="000000"/>
          <w:sz w:val="24"/>
          <w:szCs w:val="24"/>
          <w:highlight w:val="none"/>
        </w:rPr>
        <w:t xml:space="preserve">扣除</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01"/>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⑹弃土乱抛乱弃或者违反环境保护的规定，随意排放废油或其他生产生活废弃物，发包人将处3000元/次违约金，并工程价款支付中扣除。</w:t>
      </w:r>
      <w:r>
        <w:rPr>
          <w:rFonts w:hint="eastAsia" w:ascii="宋体" w:hAnsi="宋体" w:eastAsia="宋体" w:cs="宋体"/>
          <w:color w:val="000000"/>
          <w:sz w:val="24"/>
          <w:szCs w:val="24"/>
          <w:highlight w:val="none"/>
        </w:rPr>
      </w:r>
      <w:r/>
    </w:p>
    <w:p>
      <w:pPr>
        <w:pStyle w:val="801"/>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⑺承包人不按合同约定履行义务的其他情况：</w:t>
      </w:r>
      <w:r>
        <w:rPr>
          <w:rFonts w:hint="eastAsia" w:ascii="宋体" w:hAnsi="宋体" w:eastAsia="宋体" w:cs="宋体"/>
          <w:color w:val="000000"/>
          <w:sz w:val="24"/>
          <w:szCs w:val="24"/>
          <w:highlight w:val="none"/>
        </w:rPr>
      </w:r>
      <w:r/>
    </w:p>
    <w:p>
      <w:pPr>
        <w:pStyle w:val="801"/>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①承包人在施工期间如果在各种报表及检查试验记录中自己作假或诱导监理人作假，一经查实，发包人将按3000元/次处以承包人的违约金。由于假报表、假试验记录引起的工程损失费用，由承包人承担。</w:t>
      </w:r>
      <w:r>
        <w:rPr>
          <w:rFonts w:hint="eastAsia" w:ascii="宋体" w:hAnsi="宋体" w:eastAsia="宋体" w:cs="宋体"/>
          <w:color w:val="000000"/>
          <w:sz w:val="24"/>
          <w:szCs w:val="24"/>
          <w:highlight w:val="none"/>
        </w:rPr>
      </w:r>
      <w:r/>
    </w:p>
    <w:p>
      <w:pPr>
        <w:pStyle w:val="801"/>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②发包人可视承包人违约的严重程度采取下列措施之一：</w:t>
      </w:r>
      <w:r>
        <w:rPr>
          <w:rFonts w:hint="eastAsia" w:ascii="宋体" w:hAnsi="宋体" w:eastAsia="宋体" w:cs="宋体"/>
          <w:color w:val="000000"/>
          <w:sz w:val="24"/>
          <w:szCs w:val="24"/>
          <w:highlight w:val="none"/>
        </w:rPr>
      </w:r>
      <w:r/>
    </w:p>
    <w:p>
      <w:pPr>
        <w:pStyle w:val="801"/>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a.即使交纳了违约金，承包人仍应按合同规定继续实施和完成本标段及其缺陷修复；或</w:t>
      </w:r>
      <w:r>
        <w:rPr>
          <w:rFonts w:hint="eastAsia" w:ascii="宋体" w:hAnsi="宋体" w:eastAsia="宋体" w:cs="宋体"/>
          <w:color w:val="000000"/>
          <w:sz w:val="24"/>
          <w:szCs w:val="24"/>
          <w:highlight w:val="none"/>
        </w:rPr>
      </w:r>
      <w:r/>
    </w:p>
    <w:p>
      <w:pPr>
        <w:pStyle w:val="801"/>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b.发包人可雇用其他承包人完成部分工程。承包人无权对此提出反对意见并应按合同规定完成合同工程其它部分的施工和缺陷修复。在这种情况下，发包人向承包人支付的合同价格中不应包括由其他承包人完成的那部分工程的价格。监理人应与承包人和发包人协商后确定由于承包人违约而给发包人造成的费用增加和其他损失，并由发包人从应付或到期应付给承包人的款项中扣除，监理人应将上述决定通知承包人，并抄送发包人。</w:t>
      </w:r>
      <w:r>
        <w:rPr>
          <w:rFonts w:hint="eastAsia" w:ascii="宋体" w:hAnsi="宋体" w:eastAsia="宋体" w:cs="宋体"/>
          <w:color w:val="000000"/>
          <w:sz w:val="24"/>
          <w:szCs w:val="24"/>
          <w:highlight w:val="none"/>
        </w:rPr>
      </w:r>
      <w:r/>
    </w:p>
    <w:p>
      <w:pPr>
        <w:pStyle w:val="801"/>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c.发包人在向承包人发出书面通知的14天之后可以进驻现场和接管工程，终止承包人对本标段的承包，但不因此解除合同规定的承包人的任何义务和责任，或影响合同赋予发包人或监理人的各种权利和权限。发包人可自行完成该工程，或邀请其他承包人完成该工程。发包人或其他承包人为了完成本工程可以使用任何承包人设备、临时工程和材料。</w:t>
      </w:r>
      <w:r>
        <w:rPr>
          <w:rFonts w:hint="eastAsia" w:ascii="宋体" w:hAnsi="宋体" w:eastAsia="宋体" w:cs="宋体"/>
          <w:color w:val="000000"/>
          <w:sz w:val="24"/>
          <w:szCs w:val="24"/>
          <w:highlight w:val="none"/>
        </w:rPr>
      </w:r>
      <w:r/>
    </w:p>
    <w:p>
      <w:pPr>
        <w:pStyle w:val="801"/>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③承包人应对工程的质量负责，对工程原材料、工程实体的分部分项工程，经承包人自检合格的项目，被发包人、上级机关、质量监督部门检验出不合格的，一般部位按照1万元/次、重要部位按照2万元以上/次的标准扣除工程款。</w:t>
      </w:r>
      <w:r>
        <w:rPr>
          <w:rFonts w:hint="eastAsia" w:ascii="宋体" w:hAnsi="宋体" w:eastAsia="宋体" w:cs="宋体"/>
          <w:color w:val="000000"/>
          <w:sz w:val="24"/>
          <w:szCs w:val="24"/>
          <w:highlight w:val="none"/>
        </w:rPr>
      </w:r>
      <w:r/>
    </w:p>
    <w:p>
      <w:pPr>
        <w:pStyle w:val="801"/>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⑻承包人无正当理由停工超过 3 日，或未经发包人书面同意擅自撤离施工人员、设备的，每停工或撤离一日，应按合同总价的千分之一向发包人支付违约金。停工或撤离超过 10 日的，发包人有权解除合同，没收全部履约保证金，并要求承包人赔偿由此造成的工期延误损失及其他直接、间接损失。</w:t>
      </w:r>
      <w:r>
        <w:rPr>
          <w:rFonts w:hint="eastAsia" w:ascii="宋体" w:hAnsi="宋体" w:eastAsia="宋体" w:cs="宋体"/>
          <w:color w:val="000000"/>
          <w:sz w:val="24"/>
          <w:szCs w:val="24"/>
          <w:highlight w:val="none"/>
        </w:rPr>
      </w:r>
      <w:r/>
    </w:p>
    <w:p>
      <w:pPr>
        <w:pStyle w:val="801"/>
        <w:ind w:left="0" w:right="0"/>
        <w:jc w:val="both"/>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24  争议的解决</w:t>
      </w:r>
      <w:r>
        <w:rPr>
          <w:rFonts w:hint="eastAsia" w:ascii="宋体" w:hAnsi="宋体" w:eastAsia="宋体" w:cs="宋体"/>
          <w:b/>
          <w:bCs/>
          <w:color w:val="000000"/>
          <w:sz w:val="24"/>
          <w:szCs w:val="24"/>
          <w:highlight w:val="none"/>
        </w:rPr>
      </w:r>
      <w:r/>
    </w:p>
    <w:p>
      <w:pPr>
        <w:pStyle w:val="801"/>
        <w:ind w:left="0" w:right="0"/>
        <w:jc w:val="both"/>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24.1  争议的解决方式</w:t>
      </w:r>
      <w:r>
        <w:rPr>
          <w:rFonts w:hint="eastAsia" w:ascii="宋体" w:hAnsi="宋体" w:eastAsia="宋体" w:cs="宋体"/>
          <w:b/>
          <w:bCs/>
          <w:color w:val="000000"/>
          <w:sz w:val="24"/>
          <w:szCs w:val="24"/>
          <w:highlight w:val="none"/>
        </w:rPr>
      </w:r>
      <w:r/>
    </w:p>
    <w:p>
      <w:pPr>
        <w:pStyle w:val="801"/>
        <w:ind w:left="0" w:right="0" w:firstLine="435"/>
        <w:jc w:val="both"/>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发包人和承包人在履行合同中发生争议的，可以友好协商解决或者提请争议评审组评审。合同当事人友好协商解决不成、不愿提请争议评审或者不接受争议评审组意见的，可向发包人所在地有管辖权的人民法院起诉。</w:t>
      </w:r>
      <w:r>
        <w:rPr>
          <w:rFonts w:hint="eastAsia" w:ascii="宋体" w:hAnsi="宋体" w:eastAsia="宋体" w:cs="宋体"/>
          <w:bCs/>
          <w:color w:val="000000"/>
          <w:sz w:val="24"/>
          <w:szCs w:val="24"/>
          <w:highlight w:val="none"/>
        </w:rPr>
      </w:r>
      <w:r/>
    </w:p>
    <w:p>
      <w:pPr>
        <w:pStyle w:val="801"/>
        <w:ind w:left="0" w:right="0"/>
        <w:jc w:val="both"/>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25  其他约定</w:t>
      </w:r>
      <w:r>
        <w:rPr>
          <w:rFonts w:hint="eastAsia" w:ascii="宋体" w:hAnsi="宋体" w:eastAsia="宋体" w:cs="宋体"/>
          <w:b/>
          <w:bCs/>
          <w:color w:val="000000"/>
          <w:sz w:val="24"/>
          <w:szCs w:val="24"/>
          <w:highlight w:val="none"/>
        </w:rPr>
      </w:r>
      <w:r/>
    </w:p>
    <w:p>
      <w:pPr>
        <w:pStyle w:val="801"/>
        <w:ind w:left="0" w:right="0"/>
        <w:jc w:val="both"/>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25.1  项目监理人和现场派出机构：发包人另行确定。</w:t>
      </w:r>
      <w:r>
        <w:rPr>
          <w:rFonts w:hint="eastAsia" w:ascii="宋体" w:hAnsi="宋体" w:eastAsia="宋体" w:cs="宋体"/>
          <w:bCs/>
          <w:color w:val="000000"/>
          <w:sz w:val="24"/>
          <w:szCs w:val="24"/>
          <w:highlight w:val="none"/>
        </w:rPr>
      </w:r>
      <w:r/>
    </w:p>
    <w:p>
      <w:pPr>
        <w:pStyle w:val="801"/>
        <w:ind w:left="0" w:right="0" w:firstLine="480"/>
        <w:jc w:val="both"/>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 总监理工程师：发包人另行确定。</w:t>
      </w:r>
      <w:r>
        <w:rPr>
          <w:rFonts w:hint="eastAsia" w:ascii="宋体" w:hAnsi="宋体" w:eastAsia="宋体" w:cs="宋体"/>
          <w:bCs/>
          <w:color w:val="000000"/>
          <w:sz w:val="24"/>
          <w:szCs w:val="24"/>
          <w:highlight w:val="none"/>
        </w:rPr>
      </w:r>
      <w:r/>
    </w:p>
    <w:p>
      <w:pPr>
        <w:pStyle w:val="801"/>
        <w:ind w:left="0" w:right="0"/>
        <w:jc w:val="both"/>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25.4  施工工艺要求</w:t>
      </w:r>
      <w:r>
        <w:rPr>
          <w:rFonts w:hint="eastAsia" w:ascii="宋体" w:hAnsi="宋体" w:eastAsia="宋体" w:cs="宋体"/>
          <w:b/>
          <w:bCs/>
          <w:color w:val="000000"/>
          <w:sz w:val="24"/>
          <w:szCs w:val="24"/>
          <w:highlight w:val="none"/>
        </w:rPr>
      </w:r>
      <w:r/>
    </w:p>
    <w:p>
      <w:pPr>
        <w:pStyle w:val="801"/>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⑴承包人应按照图纸、招标文件和技术标准和要求的要求，编制施工指导意见，明确确保工程质量的施工技术方案和施工工艺要求，特别是关键工程、重点部位、关键工序的施工技术方案和施工工艺。考虑到本标段建设的实际情况，发包人可能会提出一些比招标文件中技术标准和要求要求高的技术指标，承包人必须执行这一要求。在工程竣工质量要求未发生改变的情况下，即使发包人或监理人对施工工艺指标提出了特别要求，承包人也不得就此要求发包人给予额外费用补贴以及由此发生的一切费用。</w:t>
      </w:r>
      <w:r>
        <w:rPr>
          <w:rFonts w:hint="eastAsia" w:ascii="宋体" w:hAnsi="宋体" w:eastAsia="宋体" w:cs="宋体"/>
          <w:color w:val="000000"/>
          <w:sz w:val="24"/>
          <w:szCs w:val="24"/>
          <w:highlight w:val="none"/>
        </w:rPr>
      </w:r>
      <w:r/>
    </w:p>
    <w:p>
      <w:pPr>
        <w:pStyle w:val="801"/>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⑵承包人工程施工标准化、班组管理规范化，积极推广应用性能可靠、先进适用的新技术、新材料、新设备、新工艺等“四新技术”，淘汰影响工程质量安全的落后工艺。</w:t>
      </w:r>
      <w:r>
        <w:rPr>
          <w:rFonts w:hint="eastAsia" w:ascii="宋体" w:hAnsi="宋体" w:eastAsia="宋体" w:cs="宋体"/>
          <w:color w:val="000000"/>
          <w:sz w:val="24"/>
          <w:szCs w:val="24"/>
          <w:highlight w:val="none"/>
        </w:rPr>
      </w:r>
      <w:r/>
    </w:p>
    <w:p>
      <w:pPr>
        <w:pStyle w:val="801"/>
        <w:ind w:right="468" w:firstLine="420"/>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804"/>
        <w:jc w:val="both"/>
        <w:keepLines w:val="0"/>
        <w:keepNext w:val="0"/>
        <w:pageBreakBefore w:val="0"/>
        <w:spacing w:before="0" w:after="0" w:line="360" w:lineRule="auto"/>
        <w:widowControl w:val="off"/>
        <w:rPr>
          <w:rFonts w:hint="eastAsia" w:ascii="宋体" w:hAnsi="宋体" w:eastAsia="宋体" w:cs="宋体"/>
          <w:color w:val="000000"/>
          <w:sz w:val="32"/>
          <w:szCs w:val="32"/>
          <w:highlight w:val="none"/>
        </w:rPr>
      </w:pPr>
      <w:r/>
      <w:bookmarkStart w:id="161" w:name="_Toc211090863"/>
      <w:r/>
      <w:bookmarkStart w:id="162" w:name="_Toc406752721"/>
      <w:r>
        <w:rPr>
          <w:rFonts w:hint="eastAsia" w:ascii="宋体" w:hAnsi="宋体" w:eastAsia="宋体" w:cs="宋体"/>
          <w:color w:val="000000"/>
          <w:sz w:val="32"/>
          <w:szCs w:val="32"/>
          <w:highlight w:val="none"/>
        </w:rPr>
      </w:r>
      <w:r/>
    </w:p>
    <w:p>
      <w:pPr>
        <w:pStyle w:val="804"/>
        <w:jc w:val="center"/>
        <w:keepLines w:val="0"/>
        <w:keepNext w:val="0"/>
        <w:pageBreakBefore w:val="0"/>
        <w:spacing w:before="0" w:after="0" w:line="360" w:lineRule="auto"/>
        <w:widowControl w:val="off"/>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804"/>
        <w:jc w:val="center"/>
        <w:keepLines w:val="0"/>
        <w:keepNext w:val="0"/>
        <w:pageBreakBefore w:val="0"/>
        <w:spacing w:before="0" w:after="0" w:line="360" w:lineRule="auto"/>
        <w:widowControl w:val="off"/>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804"/>
        <w:jc w:val="center"/>
        <w:keepLines w:val="0"/>
        <w:keepNext w:val="0"/>
        <w:pageBreakBefore w:val="0"/>
        <w:spacing w:before="0" w:after="0" w:line="360" w:lineRule="auto"/>
        <w:widowControl w:val="off"/>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804"/>
        <w:jc w:val="center"/>
        <w:keepLines w:val="0"/>
        <w:keepNext w:val="0"/>
        <w:pageBreakBefore w:val="0"/>
        <w:spacing w:before="0" w:after="0" w:line="360" w:lineRule="auto"/>
        <w:widowControl w:val="off"/>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804"/>
        <w:jc w:val="center"/>
        <w:keepLines w:val="0"/>
        <w:keepNext w:val="0"/>
        <w:pageBreakBefore w:val="0"/>
        <w:spacing w:before="0" w:after="0" w:line="360" w:lineRule="auto"/>
        <w:widowControl w:val="off"/>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804"/>
        <w:jc w:val="center"/>
        <w:keepLines w:val="0"/>
        <w:keepNext w:val="0"/>
        <w:pageBreakBefore w:val="0"/>
        <w:spacing w:before="0" w:after="0" w:line="360" w:lineRule="auto"/>
        <w:widowControl w:val="off"/>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804"/>
        <w:jc w:val="center"/>
        <w:keepLines w:val="0"/>
        <w:keepNext w:val="0"/>
        <w:pageBreakBefore w:val="0"/>
        <w:spacing w:before="0" w:after="0" w:line="360" w:lineRule="auto"/>
        <w:widowControl w:val="off"/>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804"/>
        <w:jc w:val="center"/>
        <w:keepLines w:val="0"/>
        <w:keepNext w:val="0"/>
        <w:pageBreakBefore w:val="0"/>
        <w:spacing w:before="0" w:after="0" w:line="360" w:lineRule="auto"/>
        <w:widowControl w:val="off"/>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804"/>
        <w:jc w:val="center"/>
        <w:keepLines w:val="0"/>
        <w:keepNext w:val="0"/>
        <w:pageBreakBefore w:val="0"/>
        <w:spacing w:before="0" w:after="0" w:line="360" w:lineRule="auto"/>
        <w:widowControl w:val="off"/>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804"/>
        <w:jc w:val="center"/>
        <w:keepLines w:val="0"/>
        <w:keepNext w:val="0"/>
        <w:pageBreakBefore w:val="0"/>
        <w:spacing w:before="0" w:after="0" w:line="360" w:lineRule="auto"/>
        <w:widowControl w:val="off"/>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804"/>
        <w:jc w:val="center"/>
        <w:keepLines w:val="0"/>
        <w:keepNext w:val="0"/>
        <w:pageBreakBefore w:val="0"/>
        <w:spacing w:before="0" w:after="0" w:line="360" w:lineRule="auto"/>
        <w:widowControl w:val="off"/>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804"/>
        <w:jc w:val="center"/>
        <w:keepLines w:val="0"/>
        <w:keepNext w:val="0"/>
        <w:pageBreakBefore w:val="0"/>
        <w:spacing w:before="0" w:after="0" w:line="360" w:lineRule="auto"/>
        <w:widowControl w:val="off"/>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804"/>
        <w:jc w:val="center"/>
        <w:keepLines w:val="0"/>
        <w:keepNext w:val="0"/>
        <w:pageBreakBefore w:val="0"/>
        <w:spacing w:before="0" w:after="0" w:line="360" w:lineRule="auto"/>
        <w:widowControl w:val="off"/>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804"/>
        <w:jc w:val="center"/>
        <w:keepLines w:val="0"/>
        <w:keepNext w:val="0"/>
        <w:pageBreakBefore w:val="0"/>
        <w:spacing w:before="0" w:after="0" w:line="360" w:lineRule="auto"/>
        <w:widowControl w:val="off"/>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804"/>
        <w:jc w:val="center"/>
        <w:keepLines w:val="0"/>
        <w:keepNext w:val="0"/>
        <w:pageBreakBefore w:val="0"/>
        <w:spacing w:before="0" w:after="0" w:line="360" w:lineRule="auto"/>
        <w:widowControl w:val="off"/>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804"/>
        <w:jc w:val="center"/>
        <w:keepLines w:val="0"/>
        <w:keepNext w:val="0"/>
        <w:pageBreakBefore w:val="0"/>
        <w:spacing w:before="0" w:after="0" w:line="360" w:lineRule="auto"/>
        <w:widowControl w:val="off"/>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第三节  合同附件格式</w:t>
      </w:r>
      <w:bookmarkEnd w:id="161"/>
      <w:r/>
      <w:bookmarkEnd w:id="162"/>
      <w:r>
        <w:rPr>
          <w:rFonts w:hint="eastAsia" w:ascii="宋体" w:hAnsi="宋体" w:eastAsia="宋体" w:cs="宋体"/>
          <w:color w:val="000000"/>
          <w:sz w:val="32"/>
          <w:szCs w:val="32"/>
          <w:highlight w:val="none"/>
        </w:rPr>
      </w:r>
      <w:r/>
    </w:p>
    <w:p>
      <w:pPr>
        <w:pStyle w:val="804"/>
        <w:jc w:val="left"/>
        <w:keepLines w:val="0"/>
        <w:keepNext w:val="0"/>
        <w:pageBreakBefore w:val="0"/>
        <w:spacing w:before="0" w:after="0" w:line="312" w:lineRule="auto"/>
        <w:widowControl w:val="off"/>
        <w:rPr>
          <w:rFonts w:hint="eastAsia" w:ascii="宋体" w:hAnsi="宋体" w:eastAsia="宋体" w:cs="宋体"/>
          <w:color w:val="000000"/>
          <w:sz w:val="32"/>
          <w:szCs w:val="32"/>
          <w:highlight w:val="none"/>
        </w:rPr>
      </w:pPr>
      <w:r/>
      <w:bookmarkStart w:id="163" w:name="_Toc211090864"/>
      <w:r>
        <w:rPr>
          <w:rFonts w:hint="eastAsia" w:ascii="宋体" w:hAnsi="宋体" w:eastAsia="宋体" w:cs="宋体"/>
          <w:color w:val="000000"/>
          <w:sz w:val="24"/>
          <w:szCs w:val="24"/>
          <w:highlight w:val="none"/>
        </w:rPr>
        <w:t xml:space="preserve">附件一：合同协议书</w:t>
      </w:r>
      <w:bookmarkEnd w:id="163"/>
      <w:r>
        <w:rPr>
          <w:rFonts w:hint="eastAsia" w:ascii="宋体" w:hAnsi="宋体" w:eastAsia="宋体" w:cs="宋体"/>
          <w:color w:val="000000"/>
          <w:sz w:val="32"/>
          <w:szCs w:val="32"/>
          <w:highlight w:val="none"/>
        </w:rPr>
      </w:r>
      <w:r/>
    </w:p>
    <w:p>
      <w:pPr>
        <w:pStyle w:val="801"/>
        <w:jc w:val="center"/>
        <w:keepLines w:val="0"/>
        <w:keepNext w:val="0"/>
        <w:pageBreakBefore w:val="0"/>
        <w:spacing w:line="312" w:lineRule="auto"/>
        <w:widowControl w:val="off"/>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合同协议书</w:t>
      </w:r>
      <w:r>
        <w:rPr>
          <w:rFonts w:hint="eastAsia" w:ascii="宋体" w:hAnsi="宋体" w:eastAsia="宋体" w:cs="宋体"/>
          <w:b/>
          <w:color w:val="000000"/>
          <w:sz w:val="32"/>
          <w:szCs w:val="32"/>
          <w:highlight w:val="none"/>
        </w:rPr>
      </w:r>
      <w:r/>
    </w:p>
    <w:p>
      <w:pPr>
        <w:pStyle w:val="801"/>
        <w:ind w:firstLine="480"/>
        <w:keepLines w:val="0"/>
        <w:keepNext w:val="0"/>
        <w:pageBreakBefore w:val="0"/>
        <w:spacing w:line="31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t xml:space="preserve">苏北航务管理处扬州航务中心</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（发包人名称，以下简称“发包人”）为实施</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（项目名称），已接受</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（承包人名称，以下简称“承包人”）对该项目</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标段的投标。发包人和承包人共同达成如下协议。</w:t>
      </w:r>
      <w:r>
        <w:rPr>
          <w:rFonts w:hint="eastAsia" w:ascii="宋体" w:hAnsi="宋体" w:eastAsia="宋体" w:cs="宋体"/>
          <w:color w:val="000000"/>
          <w:sz w:val="24"/>
          <w:szCs w:val="24"/>
          <w:highlight w:val="none"/>
        </w:rPr>
      </w:r>
      <w:r/>
    </w:p>
    <w:p>
      <w:pPr>
        <w:pStyle w:val="801"/>
        <w:ind w:firstLine="480"/>
        <w:keepLines w:val="0"/>
        <w:keepNext w:val="0"/>
        <w:pageBreakBefore w:val="0"/>
        <w:spacing w:line="31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1．本协议书与下列文件一起构成合同文件：</w:t>
      </w:r>
      <w:r>
        <w:rPr>
          <w:rFonts w:hint="eastAsia" w:ascii="宋体" w:hAnsi="宋体" w:eastAsia="宋体" w:cs="宋体"/>
          <w:color w:val="000000"/>
          <w:sz w:val="24"/>
          <w:szCs w:val="24"/>
          <w:highlight w:val="none"/>
        </w:rPr>
      </w:r>
      <w:r/>
    </w:p>
    <w:p>
      <w:pPr>
        <w:pStyle w:val="801"/>
        <w:ind w:firstLine="480"/>
        <w:keepLines w:val="0"/>
        <w:keepNext w:val="0"/>
        <w:pageBreakBefore w:val="0"/>
        <w:spacing w:line="31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(l）中标通知书；</w:t>
      </w:r>
      <w:r>
        <w:rPr>
          <w:rFonts w:hint="eastAsia" w:ascii="宋体" w:hAnsi="宋体" w:eastAsia="宋体" w:cs="宋体"/>
          <w:color w:val="000000"/>
          <w:sz w:val="24"/>
          <w:szCs w:val="24"/>
          <w:highlight w:val="none"/>
        </w:rPr>
      </w:r>
      <w:r/>
    </w:p>
    <w:p>
      <w:pPr>
        <w:pStyle w:val="801"/>
        <w:ind w:firstLine="480"/>
        <w:keepLines w:val="0"/>
        <w:keepNext w:val="0"/>
        <w:pageBreakBefore w:val="0"/>
        <w:spacing w:line="31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(2）投标函；</w:t>
      </w:r>
      <w:r>
        <w:rPr>
          <w:rFonts w:hint="eastAsia" w:ascii="宋体" w:hAnsi="宋体" w:eastAsia="宋体" w:cs="宋体"/>
          <w:color w:val="000000"/>
          <w:sz w:val="24"/>
          <w:szCs w:val="24"/>
          <w:highlight w:val="none"/>
        </w:rPr>
      </w:r>
      <w:r/>
    </w:p>
    <w:p>
      <w:pPr>
        <w:pStyle w:val="801"/>
        <w:ind w:firstLine="480"/>
        <w:keepLines w:val="0"/>
        <w:keepNext w:val="0"/>
        <w:pageBreakBefore w:val="0"/>
        <w:spacing w:line="31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(3）专用合同条款；</w:t>
      </w:r>
      <w:r>
        <w:rPr>
          <w:rFonts w:hint="eastAsia" w:ascii="宋体" w:hAnsi="宋体" w:eastAsia="宋体" w:cs="宋体"/>
          <w:color w:val="000000"/>
          <w:sz w:val="24"/>
          <w:szCs w:val="24"/>
          <w:highlight w:val="none"/>
        </w:rPr>
      </w:r>
      <w:r/>
    </w:p>
    <w:p>
      <w:pPr>
        <w:pStyle w:val="801"/>
        <w:ind w:firstLine="480"/>
        <w:keepLines w:val="0"/>
        <w:keepNext w:val="0"/>
        <w:pageBreakBefore w:val="0"/>
        <w:spacing w:line="31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(4）通用合同条款；</w:t>
      </w:r>
      <w:r>
        <w:rPr>
          <w:rFonts w:hint="eastAsia" w:ascii="宋体" w:hAnsi="宋体" w:eastAsia="宋体" w:cs="宋体"/>
          <w:color w:val="000000"/>
          <w:sz w:val="24"/>
          <w:szCs w:val="24"/>
          <w:highlight w:val="none"/>
        </w:rPr>
      </w:r>
      <w:r/>
    </w:p>
    <w:p>
      <w:pPr>
        <w:pStyle w:val="801"/>
        <w:ind w:firstLine="480"/>
        <w:keepLines w:val="0"/>
        <w:keepNext w:val="0"/>
        <w:pageBreakBefore w:val="0"/>
        <w:spacing w:line="31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(5）技术标准和要求；</w:t>
      </w:r>
      <w:r>
        <w:rPr>
          <w:rFonts w:hint="eastAsia" w:ascii="宋体" w:hAnsi="宋体" w:eastAsia="宋体" w:cs="宋体"/>
          <w:color w:val="000000"/>
          <w:sz w:val="24"/>
          <w:szCs w:val="24"/>
          <w:highlight w:val="none"/>
        </w:rPr>
      </w:r>
      <w:r/>
    </w:p>
    <w:p>
      <w:pPr>
        <w:pStyle w:val="801"/>
        <w:ind w:firstLine="480"/>
        <w:keepLines w:val="0"/>
        <w:keepNext w:val="0"/>
        <w:pageBreakBefore w:val="0"/>
        <w:spacing w:line="31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(6）图纸；</w:t>
      </w:r>
      <w:r>
        <w:rPr>
          <w:rFonts w:hint="eastAsia" w:ascii="宋体" w:hAnsi="宋体" w:eastAsia="宋体" w:cs="宋体"/>
          <w:color w:val="000000"/>
          <w:sz w:val="24"/>
          <w:szCs w:val="24"/>
          <w:highlight w:val="none"/>
        </w:rPr>
      </w:r>
      <w:r/>
    </w:p>
    <w:p>
      <w:pPr>
        <w:pStyle w:val="801"/>
        <w:ind w:firstLine="480"/>
        <w:keepLines w:val="0"/>
        <w:keepNext w:val="0"/>
        <w:pageBreakBefore w:val="0"/>
        <w:spacing w:line="31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(7）已标价工程量清单；</w:t>
      </w:r>
      <w:r>
        <w:rPr>
          <w:rFonts w:hint="eastAsia" w:ascii="宋体" w:hAnsi="宋体" w:eastAsia="宋体" w:cs="宋体"/>
          <w:color w:val="000000"/>
          <w:sz w:val="24"/>
          <w:szCs w:val="24"/>
          <w:highlight w:val="none"/>
        </w:rPr>
      </w:r>
      <w:r/>
    </w:p>
    <w:p>
      <w:pPr>
        <w:pStyle w:val="801"/>
        <w:ind w:firstLine="480"/>
        <w:keepLines w:val="0"/>
        <w:keepNext w:val="0"/>
        <w:pageBreakBefore w:val="0"/>
        <w:spacing w:line="31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(8）其他合同文件。</w:t>
      </w:r>
      <w:r>
        <w:rPr>
          <w:rFonts w:hint="eastAsia" w:ascii="宋体" w:hAnsi="宋体" w:eastAsia="宋体" w:cs="宋体"/>
          <w:color w:val="000000"/>
          <w:sz w:val="24"/>
          <w:szCs w:val="24"/>
          <w:highlight w:val="none"/>
        </w:rPr>
      </w:r>
      <w:r/>
    </w:p>
    <w:p>
      <w:pPr>
        <w:pStyle w:val="801"/>
        <w:ind w:firstLine="480"/>
        <w:keepLines w:val="0"/>
        <w:keepNext w:val="0"/>
        <w:pageBreakBefore w:val="0"/>
        <w:spacing w:line="31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2．上述文件互相补充和解释，如有不明确或不一致之处，以合同约定次序在先者为准。</w:t>
      </w:r>
      <w:r>
        <w:rPr>
          <w:rFonts w:hint="eastAsia" w:ascii="宋体" w:hAnsi="宋体" w:eastAsia="宋体" w:cs="宋体"/>
          <w:color w:val="000000"/>
          <w:sz w:val="24"/>
          <w:szCs w:val="24"/>
          <w:highlight w:val="none"/>
        </w:rPr>
      </w:r>
      <w:r/>
    </w:p>
    <w:p>
      <w:pPr>
        <w:pStyle w:val="801"/>
        <w:ind w:firstLine="480"/>
        <w:keepLines w:val="0"/>
        <w:keepNext w:val="0"/>
        <w:pageBreakBefore w:val="0"/>
        <w:spacing w:line="31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3．签约合同价：人民币（大写）</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元（¥</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01"/>
        <w:ind w:firstLine="480"/>
        <w:keepLines w:val="0"/>
        <w:keepNext w:val="0"/>
        <w:pageBreakBefore w:val="0"/>
        <w:spacing w:line="31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4．承包人项目经理：</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801"/>
        <w:ind w:firstLine="480"/>
        <w:keepLines w:val="0"/>
        <w:keepNext w:val="0"/>
        <w:pageBreakBefore w:val="0"/>
        <w:spacing w:line="31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5．工程质量符合</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标准。</w:t>
      </w:r>
      <w:r>
        <w:rPr>
          <w:rFonts w:hint="eastAsia" w:ascii="宋体" w:hAnsi="宋体" w:eastAsia="宋体" w:cs="宋体"/>
          <w:color w:val="000000"/>
          <w:sz w:val="24"/>
          <w:szCs w:val="24"/>
          <w:highlight w:val="none"/>
        </w:rPr>
      </w:r>
      <w:r/>
    </w:p>
    <w:p>
      <w:pPr>
        <w:pStyle w:val="801"/>
        <w:ind w:firstLine="480"/>
        <w:keepLines w:val="0"/>
        <w:keepNext w:val="0"/>
        <w:pageBreakBefore w:val="0"/>
        <w:spacing w:line="31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6．承包人承诺按合同约定承担工程的实施、完成及缺陷修复。</w:t>
      </w:r>
      <w:r>
        <w:rPr>
          <w:rFonts w:hint="eastAsia" w:ascii="宋体" w:hAnsi="宋体" w:eastAsia="宋体" w:cs="宋体"/>
          <w:color w:val="000000"/>
          <w:sz w:val="24"/>
          <w:szCs w:val="24"/>
          <w:highlight w:val="none"/>
        </w:rPr>
      </w:r>
      <w:r/>
    </w:p>
    <w:p>
      <w:pPr>
        <w:pStyle w:val="801"/>
        <w:ind w:firstLine="480"/>
        <w:keepLines w:val="0"/>
        <w:keepNext w:val="0"/>
        <w:pageBreakBefore w:val="0"/>
        <w:spacing w:line="31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7．发包人承诺按合同约定的条件、时间和方式向承包人支付合同价款。</w:t>
      </w:r>
      <w:r>
        <w:rPr>
          <w:rFonts w:hint="eastAsia" w:ascii="宋体" w:hAnsi="宋体" w:eastAsia="宋体" w:cs="宋体"/>
          <w:color w:val="000000"/>
          <w:sz w:val="24"/>
          <w:szCs w:val="24"/>
          <w:highlight w:val="none"/>
        </w:rPr>
      </w:r>
      <w:r/>
    </w:p>
    <w:p>
      <w:pPr>
        <w:pStyle w:val="869"/>
        <w:ind w:firstLine="480"/>
        <w:keepLines w:val="0"/>
        <w:keepNext w:val="0"/>
        <w:pageBreakBefore w:val="0"/>
        <w:spacing w:line="31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8．承包人应按照监理人指示开工，工期为     日历天。工期总日历天数与根据前述计划开竣工日期计算的工期天数不一致的，以工期总日历天数为准。如遇政策导致需要协调、延期事宜，工期顺延，不增加费用。</w:t>
      </w:r>
      <w:r>
        <w:rPr>
          <w:rFonts w:hint="eastAsia" w:ascii="宋体" w:hAnsi="宋体" w:eastAsia="宋体" w:cs="宋体"/>
          <w:color w:val="000000"/>
          <w:sz w:val="24"/>
          <w:szCs w:val="24"/>
          <w:highlight w:val="none"/>
        </w:rPr>
      </w:r>
      <w:r/>
    </w:p>
    <w:p>
      <w:pPr>
        <w:pStyle w:val="801"/>
        <w:ind w:firstLine="480"/>
        <w:keepLines w:val="0"/>
        <w:keepNext w:val="0"/>
        <w:pageBreakBefore w:val="0"/>
        <w:spacing w:line="31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9．本协议书一式</w:t>
      </w:r>
      <w:r>
        <w:rPr>
          <w:rFonts w:hint="eastAsia" w:ascii="宋体" w:hAnsi="宋体" w:eastAsia="宋体" w:cs="宋体"/>
          <w:color w:val="000000"/>
          <w:sz w:val="24"/>
          <w:szCs w:val="24"/>
          <w:highlight w:val="none"/>
          <w:u w:val="single"/>
        </w:rPr>
        <w:t xml:space="preserve"> 陆 </w:t>
      </w:r>
      <w:r>
        <w:rPr>
          <w:rFonts w:hint="eastAsia" w:ascii="宋体" w:hAnsi="宋体" w:eastAsia="宋体" w:cs="宋体"/>
          <w:color w:val="000000"/>
          <w:sz w:val="24"/>
          <w:szCs w:val="24"/>
          <w:highlight w:val="none"/>
        </w:rPr>
        <w:t xml:space="preserve">份，合同双方各执</w:t>
      </w:r>
      <w:r>
        <w:rPr>
          <w:rFonts w:hint="eastAsia" w:ascii="宋体" w:hAnsi="宋体" w:eastAsia="宋体" w:cs="宋体"/>
          <w:color w:val="000000"/>
          <w:sz w:val="24"/>
          <w:szCs w:val="24"/>
          <w:highlight w:val="none"/>
          <w:u w:val="single"/>
        </w:rPr>
        <w:t xml:space="preserve"> 叁 </w:t>
      </w:r>
      <w:r>
        <w:rPr>
          <w:rFonts w:hint="eastAsia" w:ascii="宋体" w:hAnsi="宋体" w:eastAsia="宋体" w:cs="宋体"/>
          <w:color w:val="000000"/>
          <w:sz w:val="24"/>
          <w:szCs w:val="24"/>
          <w:highlight w:val="none"/>
        </w:rPr>
        <w:t xml:space="preserve">份。</w:t>
      </w:r>
      <w:r>
        <w:rPr>
          <w:rFonts w:hint="eastAsia" w:ascii="宋体" w:hAnsi="宋体" w:eastAsia="宋体" w:cs="宋体"/>
          <w:color w:val="000000"/>
          <w:sz w:val="24"/>
          <w:szCs w:val="24"/>
          <w:highlight w:val="none"/>
        </w:rPr>
      </w:r>
      <w:r/>
    </w:p>
    <w:p>
      <w:pPr>
        <w:pStyle w:val="801"/>
        <w:ind w:firstLine="480"/>
        <w:keepLines w:val="0"/>
        <w:keepNext w:val="0"/>
        <w:pageBreakBefore w:val="0"/>
        <w:spacing w:line="31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10．合同未尽事宜，双方另行签订补充协议。补充协议是合同的组成部分。</w:t>
      </w:r>
      <w:r>
        <w:rPr>
          <w:rFonts w:hint="eastAsia" w:ascii="宋体" w:hAnsi="宋体" w:eastAsia="宋体" w:cs="宋体"/>
          <w:color w:val="000000"/>
          <w:sz w:val="24"/>
          <w:szCs w:val="24"/>
          <w:highlight w:val="none"/>
        </w:rPr>
      </w:r>
      <w:r/>
    </w:p>
    <w:p>
      <w:pPr>
        <w:pStyle w:val="801"/>
        <w:ind w:firstLine="480"/>
        <w:keepLines w:val="0"/>
        <w:keepNext w:val="0"/>
        <w:pageBreakBefore w:val="0"/>
        <w:spacing w:line="31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01"/>
        <w:keepLines w:val="0"/>
        <w:keepNext w:val="0"/>
        <w:pageBreakBefore w:val="0"/>
        <w:spacing w:line="31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（盖单位章） 承包人：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（盖单位章）</w:t>
      </w:r>
      <w:r>
        <w:rPr>
          <w:rFonts w:hint="eastAsia" w:ascii="宋体" w:hAnsi="宋体" w:eastAsia="宋体" w:cs="宋体"/>
          <w:color w:val="000000"/>
          <w:sz w:val="24"/>
          <w:szCs w:val="24"/>
          <w:highlight w:val="none"/>
        </w:rPr>
      </w:r>
      <w:r/>
    </w:p>
    <w:p>
      <w:pPr>
        <w:pStyle w:val="801"/>
        <w:keepLines w:val="0"/>
        <w:keepNext w:val="0"/>
        <w:pageBreakBefore w:val="0"/>
        <w:spacing w:line="31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01"/>
        <w:keepLines w:val="0"/>
        <w:keepNext w:val="0"/>
        <w:pageBreakBefore w:val="0"/>
        <w:spacing w:line="31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                           法定代表人</w:t>
      </w:r>
      <w:r>
        <w:rPr>
          <w:rFonts w:hint="eastAsia" w:ascii="宋体" w:hAnsi="宋体" w:eastAsia="宋体" w:cs="宋体"/>
          <w:color w:val="000000"/>
          <w:sz w:val="24"/>
          <w:szCs w:val="24"/>
          <w:highlight w:val="none"/>
        </w:rPr>
      </w:r>
      <w:r/>
    </w:p>
    <w:p>
      <w:pPr>
        <w:pStyle w:val="801"/>
        <w:keepLines w:val="0"/>
        <w:keepNext w:val="0"/>
        <w:pageBreakBefore w:val="0"/>
        <w:spacing w:line="31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或其委托代理人：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（签字）         或其委托代理人：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（签字）</w:t>
      </w:r>
      <w:r>
        <w:rPr>
          <w:rFonts w:hint="eastAsia" w:ascii="宋体" w:hAnsi="宋体" w:eastAsia="宋体" w:cs="宋体"/>
          <w:color w:val="000000"/>
          <w:sz w:val="24"/>
          <w:szCs w:val="24"/>
          <w:highlight w:val="none"/>
        </w:rPr>
      </w:r>
      <w:r/>
    </w:p>
    <w:p>
      <w:pPr>
        <w:pStyle w:val="801"/>
        <w:ind w:firstLine="960"/>
        <w:keepLines w:val="0"/>
        <w:keepNext w:val="0"/>
        <w:pageBreakBefore w:val="0"/>
        <w:spacing w:line="312" w:lineRule="auto"/>
        <w:widowControl w:val="off"/>
        <w:tabs>
          <w:tab w:val="left" w:pos="1425" w:leader="none"/>
          <w:tab w:val="left" w:pos="6360" w:leader="none"/>
        </w:tabs>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月＿日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月＿日</w:t>
      </w:r>
      <w:r>
        <w:rPr>
          <w:rFonts w:hint="eastAsia" w:ascii="宋体" w:hAnsi="宋体" w:eastAsia="宋体" w:cs="宋体"/>
          <w:bCs/>
          <w:color w:val="000000"/>
          <w:sz w:val="24"/>
          <w:szCs w:val="24"/>
          <w:highlight w:val="none"/>
        </w:rPr>
      </w:r>
      <w:r/>
    </w:p>
    <w:p>
      <w:pPr>
        <w:pStyle w:val="801"/>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附件二：廉洁合同</w:t>
      </w:r>
      <w:r>
        <w:rPr>
          <w:rFonts w:hint="eastAsia" w:ascii="宋体" w:hAnsi="宋体" w:eastAsia="宋体" w:cs="宋体"/>
          <w:b/>
          <w:bCs/>
          <w:color w:val="000000"/>
          <w:sz w:val="24"/>
          <w:szCs w:val="24"/>
          <w:highlight w:val="none"/>
        </w:rPr>
      </w:r>
      <w:r/>
    </w:p>
    <w:p>
      <w:pPr>
        <w:pStyle w:val="801"/>
        <w:ind w:firstLine="643"/>
        <w:jc w:val="center"/>
        <w:keepLines w:val="0"/>
        <w:keepNext w:val="0"/>
        <w:pageBreakBefore w:val="0"/>
        <w:spacing w:line="312" w:lineRule="auto"/>
        <w:widowControl w:val="off"/>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u w:val="single"/>
        </w:rPr>
        <w:t xml:space="preserve">             </w:t>
      </w:r>
      <w:r>
        <w:rPr>
          <w:rFonts w:hint="eastAsia" w:ascii="宋体" w:hAnsi="宋体" w:eastAsia="宋体" w:cs="宋体"/>
          <w:b/>
          <w:bCs/>
          <w:color w:val="000000"/>
          <w:sz w:val="32"/>
          <w:szCs w:val="32"/>
          <w:highlight w:val="none"/>
        </w:rPr>
        <w:t xml:space="preserve">项目廉洁合同</w:t>
      </w:r>
      <w:r>
        <w:rPr>
          <w:rFonts w:hint="eastAsia" w:ascii="宋体" w:hAnsi="宋体" w:eastAsia="宋体" w:cs="宋体"/>
          <w:b/>
          <w:bCs/>
          <w:color w:val="000000"/>
          <w:sz w:val="32"/>
          <w:szCs w:val="32"/>
          <w:highlight w:val="none"/>
        </w:rPr>
      </w:r>
      <w:r/>
    </w:p>
    <w:p>
      <w:pPr>
        <w:pStyle w:val="801"/>
        <w:ind w:firstLine="480"/>
        <w:keepLines w:val="0"/>
        <w:keepNext w:val="0"/>
        <w:pageBreakBefore w:val="0"/>
        <w:spacing w:line="31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01"/>
        <w:ind w:firstLine="480"/>
        <w:keepLines w:val="0"/>
        <w:keepNext w:val="0"/>
        <w:pageBreakBefore w:val="0"/>
        <w:spacing w:line="31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为加强养护项目党风廉政建设，持续深化“不敢腐、不能腐、不想腐”体制机制建设，确保养 护项目建设优质高效、参建人员廉洁从业、建设资金运行安全、项目生态风清气正，根据省交通运输厅《省级政府投资交通工程监督体系建设工作方案》（苏交党〔2025〕118号）、《省级政府投资交通工程监督体系相关配套文件》（苏交党〔2026〕42号）等文件规范要求以及有关养护项目建设、党风廉政建设的相关规定，结合我处实际情况，</w:t>
      </w:r>
      <w:r>
        <w:rPr>
          <w:rFonts w:hint="eastAsia" w:ascii="宋体" w:hAnsi="宋体" w:eastAsia="宋体" w:cs="宋体"/>
          <w:color w:val="000000"/>
          <w:sz w:val="24"/>
          <w:szCs w:val="24"/>
          <w:highlight w:val="none"/>
          <w:u w:val="single"/>
        </w:rPr>
        <w:t xml:space="preserve">苏北航务管理处扬州航务中心</w:t>
      </w:r>
      <w:r>
        <w:rPr>
          <w:rFonts w:hint="eastAsia" w:ascii="宋体" w:hAnsi="宋体" w:eastAsia="宋体" w:cs="宋体"/>
          <w:color w:val="000000"/>
          <w:sz w:val="24"/>
          <w:szCs w:val="24"/>
          <w:highlight w:val="none"/>
        </w:rPr>
        <w:t xml:space="preserve">（以下简称“发包人”）与</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（以下简称“承包人 ”），特订立本合同：</w:t>
      </w:r>
      <w:r>
        <w:rPr>
          <w:rFonts w:hint="eastAsia" w:ascii="宋体" w:hAnsi="宋体" w:eastAsia="宋体" w:cs="宋体"/>
          <w:color w:val="000000"/>
          <w:sz w:val="24"/>
          <w:szCs w:val="24"/>
          <w:highlight w:val="none"/>
        </w:rPr>
      </w:r>
      <w:r/>
    </w:p>
    <w:p>
      <w:pPr>
        <w:pStyle w:val="801"/>
        <w:ind w:firstLine="480"/>
        <w:keepLines w:val="0"/>
        <w:keepNext w:val="0"/>
        <w:pageBreakBefore w:val="0"/>
        <w:spacing w:line="31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一、发包人和承包人双方的权利和义务</w:t>
      </w:r>
      <w:r>
        <w:rPr>
          <w:rFonts w:hint="eastAsia" w:ascii="宋体" w:hAnsi="宋体" w:eastAsia="宋体" w:cs="宋体"/>
          <w:color w:val="000000"/>
          <w:sz w:val="24"/>
          <w:szCs w:val="24"/>
          <w:highlight w:val="none"/>
        </w:rPr>
      </w:r>
      <w:r/>
    </w:p>
    <w:p>
      <w:pPr>
        <w:pStyle w:val="801"/>
        <w:ind w:firstLine="480"/>
        <w:keepLines w:val="0"/>
        <w:keepNext w:val="0"/>
        <w:pageBreakBefore w:val="0"/>
        <w:spacing w:line="31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严格遵守国家有关法律法规以及交通运输部、省交通运输厅的有关规定，严格遵守党风廉政建设和作风建设各项规定，加强学习，落实上级部署要求，不断夯实廉洁从政（业）行动自觉，加强双方团结协作，努力为工程建设创造良好的氛围与环境。</w:t>
      </w:r>
      <w:r>
        <w:rPr>
          <w:rFonts w:hint="eastAsia" w:ascii="宋体" w:hAnsi="宋体" w:eastAsia="宋体" w:cs="宋体"/>
          <w:color w:val="000000"/>
          <w:sz w:val="24"/>
          <w:szCs w:val="24"/>
          <w:highlight w:val="none"/>
        </w:rPr>
      </w:r>
      <w:r/>
    </w:p>
    <w:p>
      <w:pPr>
        <w:pStyle w:val="801"/>
        <w:ind w:firstLine="480"/>
        <w:keepLines w:val="0"/>
        <w:keepNext w:val="0"/>
        <w:pageBreakBefore w:val="0"/>
        <w:spacing w:line="31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2.严格执行</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项目施工合同文件，严格履行合同。</w:t>
      </w:r>
      <w:r>
        <w:rPr>
          <w:rFonts w:hint="eastAsia" w:ascii="宋体" w:hAnsi="宋体" w:eastAsia="宋体" w:cs="宋体"/>
          <w:color w:val="000000"/>
          <w:sz w:val="24"/>
          <w:szCs w:val="24"/>
          <w:highlight w:val="none"/>
        </w:rPr>
      </w:r>
      <w:r/>
    </w:p>
    <w:p>
      <w:pPr>
        <w:pStyle w:val="801"/>
        <w:ind w:firstLine="480"/>
        <w:keepLines w:val="0"/>
        <w:keepNext w:val="0"/>
        <w:pageBreakBefore w:val="0"/>
        <w:spacing w:line="31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3.双方的业务活动坚持公开、公正、诚信、透明的原则（法律认定的商业秘密和合同文件另有规定除外），不得损害国家和集体利益，不得违反工程建设管理规章制度。</w:t>
      </w:r>
      <w:r>
        <w:rPr>
          <w:rFonts w:hint="eastAsia" w:ascii="宋体" w:hAnsi="宋体" w:eastAsia="宋体" w:cs="宋体"/>
          <w:color w:val="000000"/>
          <w:sz w:val="24"/>
          <w:szCs w:val="24"/>
          <w:highlight w:val="none"/>
        </w:rPr>
      </w:r>
      <w:r/>
    </w:p>
    <w:p>
      <w:pPr>
        <w:pStyle w:val="801"/>
        <w:ind w:firstLine="480"/>
        <w:keepLines w:val="0"/>
        <w:keepNext w:val="0"/>
        <w:pageBreakBefore w:val="0"/>
        <w:spacing w:line="31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4.加强党风廉政建设和作风建设，明确专人负责，压实各方责任，推动全面从严治党向纵深推进。</w:t>
      </w:r>
      <w:r>
        <w:rPr>
          <w:rFonts w:hint="eastAsia" w:ascii="宋体" w:hAnsi="宋体" w:eastAsia="宋体" w:cs="宋体"/>
          <w:color w:val="000000"/>
          <w:sz w:val="24"/>
          <w:szCs w:val="24"/>
          <w:highlight w:val="none"/>
        </w:rPr>
      </w:r>
      <w:r/>
    </w:p>
    <w:p>
      <w:pPr>
        <w:pStyle w:val="801"/>
        <w:ind w:firstLine="480"/>
        <w:keepLines w:val="0"/>
        <w:keepNext w:val="0"/>
        <w:pageBreakBefore w:val="0"/>
        <w:spacing w:line="31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5.落实中央八项规定及其实施细则精神，坚决反对“四风”，厉行勤俭节约，杜绝奢侈浪费。</w:t>
      </w:r>
      <w:r>
        <w:rPr>
          <w:rFonts w:hint="eastAsia" w:ascii="宋体" w:hAnsi="宋体" w:eastAsia="宋体" w:cs="宋体"/>
          <w:color w:val="000000"/>
          <w:sz w:val="24"/>
          <w:szCs w:val="24"/>
          <w:highlight w:val="none"/>
        </w:rPr>
      </w:r>
      <w:r/>
    </w:p>
    <w:p>
      <w:pPr>
        <w:pStyle w:val="801"/>
        <w:ind w:firstLine="480"/>
        <w:keepLines w:val="0"/>
        <w:keepNext w:val="0"/>
        <w:pageBreakBefore w:val="0"/>
        <w:spacing w:line="31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6.强化日常监督管理，定期开展廉洁风险防控自评考核，并严肃查处违规违纪行为。</w:t>
      </w:r>
      <w:r>
        <w:rPr>
          <w:rFonts w:hint="eastAsia" w:ascii="宋体" w:hAnsi="宋体" w:eastAsia="宋体" w:cs="宋体"/>
          <w:color w:val="000000"/>
          <w:sz w:val="24"/>
          <w:szCs w:val="24"/>
          <w:highlight w:val="none"/>
        </w:rPr>
      </w:r>
      <w:r/>
    </w:p>
    <w:p>
      <w:pPr>
        <w:pStyle w:val="801"/>
        <w:ind w:firstLine="480"/>
        <w:keepLines w:val="0"/>
        <w:keepNext w:val="0"/>
        <w:pageBreakBefore w:val="0"/>
        <w:spacing w:line="31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7.深入开展廉洁教育和廉洁文化建设，培养廉洁自律意识。</w:t>
      </w:r>
      <w:r>
        <w:rPr>
          <w:rFonts w:hint="eastAsia" w:ascii="宋体" w:hAnsi="宋体" w:eastAsia="宋体" w:cs="宋体"/>
          <w:color w:val="000000"/>
          <w:sz w:val="24"/>
          <w:szCs w:val="24"/>
          <w:highlight w:val="none"/>
        </w:rPr>
      </w:r>
      <w:r/>
    </w:p>
    <w:p>
      <w:pPr>
        <w:pStyle w:val="801"/>
        <w:ind w:firstLine="480"/>
        <w:keepLines w:val="0"/>
        <w:keepNext w:val="0"/>
        <w:pageBreakBefore w:val="0"/>
        <w:spacing w:line="31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8.畅通信访渠道，强化过程监督，提醒监督效能。发现对方在业务活动中有违反廉洁规定的行为，有及时提醒对方纠正的权利和义务。</w:t>
      </w:r>
      <w:r>
        <w:rPr>
          <w:rFonts w:hint="eastAsia" w:ascii="宋体" w:hAnsi="宋体" w:eastAsia="宋体" w:cs="宋体"/>
          <w:color w:val="000000"/>
          <w:sz w:val="24"/>
          <w:szCs w:val="24"/>
          <w:highlight w:val="none"/>
        </w:rPr>
      </w:r>
      <w:r/>
    </w:p>
    <w:p>
      <w:pPr>
        <w:pStyle w:val="801"/>
        <w:ind w:firstLine="480"/>
        <w:keepLines w:val="0"/>
        <w:keepNext w:val="0"/>
        <w:pageBreakBefore w:val="0"/>
        <w:spacing w:line="31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9.在开展养护项目党风廉政建设和作风建设工作中，应对过程中形成的资料完备性、规范性进行检查，并整理归档。</w:t>
      </w:r>
      <w:r>
        <w:rPr>
          <w:rFonts w:hint="eastAsia" w:ascii="宋体" w:hAnsi="宋体" w:eastAsia="宋体" w:cs="宋体"/>
          <w:color w:val="000000"/>
          <w:sz w:val="24"/>
          <w:szCs w:val="24"/>
          <w:highlight w:val="none"/>
        </w:rPr>
      </w:r>
      <w:r/>
    </w:p>
    <w:p>
      <w:pPr>
        <w:pStyle w:val="801"/>
        <w:ind w:firstLine="480"/>
        <w:keepLines w:val="0"/>
        <w:keepNext w:val="0"/>
        <w:pageBreakBefore w:val="0"/>
        <w:spacing w:line="31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10.发现对方严重违反本合同义务条款的行为，有向其上级有关部门举报、建议给予处理并要求告知处理结果的权利。</w:t>
      </w:r>
      <w:r>
        <w:rPr>
          <w:rFonts w:hint="eastAsia" w:ascii="宋体" w:hAnsi="宋体" w:eastAsia="宋体" w:cs="宋体"/>
          <w:color w:val="000000"/>
          <w:sz w:val="24"/>
          <w:szCs w:val="24"/>
          <w:highlight w:val="none"/>
        </w:rPr>
      </w:r>
      <w:r/>
    </w:p>
    <w:p>
      <w:pPr>
        <w:pStyle w:val="801"/>
        <w:ind w:firstLine="480"/>
        <w:keepLines w:val="0"/>
        <w:keepNext w:val="0"/>
        <w:pageBreakBefore w:val="0"/>
        <w:spacing w:line="31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二、发包人的义务</w:t>
      </w:r>
      <w:r>
        <w:rPr>
          <w:rFonts w:hint="eastAsia" w:ascii="宋体" w:hAnsi="宋体" w:eastAsia="宋体" w:cs="宋体"/>
          <w:color w:val="000000"/>
          <w:sz w:val="24"/>
          <w:szCs w:val="24"/>
          <w:highlight w:val="none"/>
        </w:rPr>
      </w:r>
      <w:r/>
    </w:p>
    <w:p>
      <w:pPr>
        <w:pStyle w:val="801"/>
        <w:ind w:firstLine="480"/>
        <w:keepLines w:val="0"/>
        <w:keepNext w:val="0"/>
        <w:pageBreakBefore w:val="0"/>
        <w:spacing w:line="31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发包人应严格执行《处养护项目管理办法（试行）》《苏北运河养护项目操作规范》《处养护项目专项监督工作操作规范》等规定，及时将项目纳入《内控平台》进行监管。确保程序规范，形成执行坚决，监督有力的权力运行机制。</w:t>
      </w:r>
      <w:r>
        <w:rPr>
          <w:rFonts w:hint="eastAsia" w:ascii="宋体" w:hAnsi="宋体" w:eastAsia="宋体" w:cs="宋体"/>
          <w:color w:val="000000"/>
          <w:sz w:val="24"/>
          <w:szCs w:val="24"/>
          <w:highlight w:val="none"/>
        </w:rPr>
      </w:r>
      <w:r/>
    </w:p>
    <w:p>
      <w:pPr>
        <w:pStyle w:val="801"/>
        <w:ind w:firstLine="480"/>
        <w:keepLines w:val="0"/>
        <w:keepNext w:val="0"/>
        <w:pageBreakBefore w:val="0"/>
        <w:spacing w:line="31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2.发包人应严格执行资金使用规定，保证建设资金的管理、使用规范合规。</w:t>
      </w:r>
      <w:r>
        <w:rPr>
          <w:rFonts w:hint="eastAsia" w:ascii="宋体" w:hAnsi="宋体" w:eastAsia="宋体" w:cs="宋体"/>
          <w:color w:val="000000"/>
          <w:sz w:val="24"/>
          <w:szCs w:val="24"/>
          <w:highlight w:val="none"/>
        </w:rPr>
      </w:r>
      <w:r/>
    </w:p>
    <w:p>
      <w:pPr>
        <w:pStyle w:val="801"/>
        <w:ind w:firstLine="480"/>
        <w:keepLines w:val="0"/>
        <w:keepNext w:val="0"/>
        <w:pageBreakBefore w:val="0"/>
        <w:spacing w:line="31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发包人及其工作人员不得索要或接受承包人赠送的名贵特产和礼品礼金，包括通过网购、电子礼品卡、电子红包等衍生工具收送礼品礼金；不得让承包人报销任何应由发包人及其工作人员单位或个人支付的费用等；不得通过打麻将、打牌、微信红包、电子礼品预付卡等隐形变异方式接受好处。</w:t>
      </w:r>
      <w:r>
        <w:rPr>
          <w:rFonts w:hint="eastAsia" w:ascii="宋体" w:hAnsi="宋体" w:eastAsia="宋体" w:cs="宋体"/>
          <w:color w:val="000000"/>
          <w:sz w:val="24"/>
          <w:szCs w:val="24"/>
          <w:highlight w:val="none"/>
        </w:rPr>
      </w:r>
      <w:r/>
    </w:p>
    <w:p>
      <w:pPr>
        <w:pStyle w:val="801"/>
        <w:ind w:firstLine="480"/>
        <w:keepLines w:val="0"/>
        <w:keepNext w:val="0"/>
        <w:pageBreakBefore w:val="0"/>
        <w:spacing w:line="31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4.发包人及其工作人员不得以任何理由向承包人指定或介绍分包单位、材料、设备供应商以及劳务、各类服务，不得要求承包人购买合同规定以外的材料和设备。</w:t>
      </w:r>
      <w:r>
        <w:rPr>
          <w:rFonts w:hint="eastAsia" w:ascii="宋体" w:hAnsi="宋体" w:eastAsia="宋体" w:cs="宋体"/>
          <w:color w:val="000000"/>
          <w:sz w:val="24"/>
          <w:szCs w:val="24"/>
          <w:highlight w:val="none"/>
        </w:rPr>
      </w:r>
      <w:r/>
    </w:p>
    <w:p>
      <w:pPr>
        <w:pStyle w:val="801"/>
        <w:ind w:firstLine="480"/>
        <w:keepLines w:val="0"/>
        <w:keepNext w:val="0"/>
        <w:pageBreakBefore w:val="0"/>
        <w:spacing w:line="31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5.发包人及其工作人员不得要求或者接受承包人为其住房装修、婚丧嫁娶活动、配偶子女的工作安排以及出国（境）、旅游等提供方便。</w:t>
      </w:r>
      <w:r>
        <w:rPr>
          <w:rFonts w:hint="eastAsia" w:ascii="宋体" w:hAnsi="宋体" w:eastAsia="宋体" w:cs="宋体"/>
          <w:color w:val="000000"/>
          <w:sz w:val="24"/>
          <w:szCs w:val="24"/>
          <w:highlight w:val="none"/>
        </w:rPr>
      </w:r>
      <w:r/>
    </w:p>
    <w:p>
      <w:pPr>
        <w:pStyle w:val="801"/>
        <w:ind w:firstLine="480"/>
        <w:keepLines w:val="0"/>
        <w:keepNext w:val="0"/>
        <w:pageBreakBefore w:val="0"/>
        <w:spacing w:line="31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6.发包人及其工作人员不得违规接受承包人安排的宴请、消费性娱乐健身活动或利用职务之便和影响力向承包人借用车辆、住房和钱款。</w:t>
      </w:r>
      <w:r>
        <w:rPr>
          <w:rFonts w:hint="eastAsia" w:ascii="宋体" w:hAnsi="宋体" w:eastAsia="宋体" w:cs="宋体"/>
          <w:color w:val="000000"/>
          <w:sz w:val="24"/>
          <w:szCs w:val="24"/>
          <w:highlight w:val="none"/>
        </w:rPr>
      </w:r>
      <w:r/>
    </w:p>
    <w:p>
      <w:pPr>
        <w:pStyle w:val="801"/>
        <w:ind w:firstLine="480"/>
        <w:keepLines w:val="0"/>
        <w:keepNext w:val="0"/>
        <w:pageBreakBefore w:val="0"/>
        <w:spacing w:line="31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7.发包人及其工作人员不得利用职权或者职务上的影响，纵容、默许特定关系人收受承包人的财物或谋取私利。</w:t>
      </w:r>
      <w:r>
        <w:rPr>
          <w:rFonts w:hint="eastAsia" w:ascii="宋体" w:hAnsi="宋体" w:eastAsia="宋体" w:cs="宋体"/>
          <w:color w:val="000000"/>
          <w:sz w:val="24"/>
          <w:szCs w:val="24"/>
          <w:highlight w:val="none"/>
        </w:rPr>
      </w:r>
      <w:r/>
    </w:p>
    <w:p>
      <w:pPr>
        <w:pStyle w:val="801"/>
        <w:ind w:firstLine="480"/>
        <w:keepLines w:val="0"/>
        <w:keepNext w:val="0"/>
        <w:pageBreakBefore w:val="0"/>
        <w:spacing w:line="31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8.发包工作人员及其配偶、子女不得从事与发包人工作有关的材料设备供应、项目分包、劳务等经济活动，不得安排或介绍个人施工队伍。</w:t>
      </w:r>
      <w:r>
        <w:rPr>
          <w:rFonts w:hint="eastAsia" w:ascii="宋体" w:hAnsi="宋体" w:eastAsia="宋体" w:cs="宋体"/>
          <w:color w:val="000000"/>
          <w:sz w:val="24"/>
          <w:szCs w:val="24"/>
          <w:highlight w:val="none"/>
        </w:rPr>
      </w:r>
      <w:r/>
    </w:p>
    <w:p>
      <w:pPr>
        <w:pStyle w:val="801"/>
        <w:ind w:firstLine="480"/>
        <w:keepLines w:val="0"/>
        <w:keepNext w:val="0"/>
        <w:pageBreakBefore w:val="0"/>
        <w:spacing w:line="31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9.发包人工作人员不得“说情打招呼”、违规插手干预项目设计、变更、索赔、计量支付、资金拨付、项目验收等事项。</w:t>
      </w:r>
      <w:r>
        <w:rPr>
          <w:rFonts w:hint="eastAsia" w:ascii="宋体" w:hAnsi="宋体" w:eastAsia="宋体" w:cs="宋体"/>
          <w:color w:val="000000"/>
          <w:sz w:val="24"/>
          <w:szCs w:val="24"/>
          <w:highlight w:val="none"/>
        </w:rPr>
      </w:r>
      <w:r/>
    </w:p>
    <w:p>
      <w:pPr>
        <w:pStyle w:val="801"/>
        <w:ind w:firstLine="480"/>
        <w:keepLines w:val="0"/>
        <w:keepNext w:val="0"/>
        <w:pageBreakBefore w:val="0"/>
        <w:spacing w:line="31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10.发包人工作人员应秉公办事，不得营私舞弊，不得利用职权从事各种有偿中介活动，不得透露不该公开的与项目有关的任何信息。</w:t>
      </w:r>
      <w:r>
        <w:rPr>
          <w:rFonts w:hint="eastAsia" w:ascii="宋体" w:hAnsi="宋体" w:eastAsia="宋体" w:cs="宋体"/>
          <w:color w:val="000000"/>
          <w:sz w:val="24"/>
          <w:szCs w:val="24"/>
          <w:highlight w:val="none"/>
        </w:rPr>
      </w:r>
      <w:r/>
    </w:p>
    <w:p>
      <w:pPr>
        <w:pStyle w:val="801"/>
        <w:ind w:firstLine="480"/>
        <w:keepLines w:val="0"/>
        <w:keepNext w:val="0"/>
        <w:pageBreakBefore w:val="0"/>
        <w:spacing w:line="31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三、承包人的义务</w:t>
      </w:r>
      <w:r>
        <w:rPr>
          <w:rFonts w:hint="eastAsia" w:ascii="宋体" w:hAnsi="宋体" w:eastAsia="宋体" w:cs="宋体"/>
          <w:color w:val="000000"/>
          <w:sz w:val="24"/>
          <w:szCs w:val="24"/>
          <w:highlight w:val="none"/>
        </w:rPr>
      </w:r>
      <w:r/>
    </w:p>
    <w:p>
      <w:pPr>
        <w:pStyle w:val="801"/>
        <w:ind w:firstLine="480"/>
        <w:keepLines w:val="0"/>
        <w:keepNext w:val="0"/>
        <w:pageBreakBefore w:val="0"/>
        <w:spacing w:line="31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承包人按照廉洁管理要求，健全廉洁管理组织，明确廉洁分管领导和廉洁管理；建立廉洁管理责任体系，层层落实廉洁管理责任；与劳务分包、材料供应等有业务往来的单位签订《廉洁合同》，制定廉洁责任守则，建立单位廉洁档案和个人廉洁档案，并进行动态化管理。</w:t>
      </w:r>
      <w:r>
        <w:rPr>
          <w:rFonts w:hint="eastAsia" w:ascii="宋体" w:hAnsi="宋体" w:eastAsia="宋体" w:cs="宋体"/>
          <w:color w:val="000000"/>
          <w:sz w:val="24"/>
          <w:szCs w:val="24"/>
          <w:highlight w:val="none"/>
        </w:rPr>
      </w:r>
      <w:r/>
    </w:p>
    <w:p>
      <w:pPr>
        <w:pStyle w:val="801"/>
        <w:ind w:firstLine="480"/>
        <w:keepLines w:val="0"/>
        <w:keepNext w:val="0"/>
        <w:pageBreakBefore w:val="0"/>
        <w:spacing w:line="31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2.承包人应按照廉洁管理要求，定期开展内部廉洁教育与廉洁文化活动；在现场设立廉 洁责任公示牌、举报箱，公布举报电话、签订廉洁承诺。与劳务分包、材料供应等有业务往来的单位签订《廉洁合同》，</w:t>
      </w:r>
      <w:r>
        <w:rPr>
          <w:rFonts w:hint="eastAsia" w:ascii="宋体" w:hAnsi="宋体" w:eastAsia="宋体" w:cs="宋体"/>
          <w:color w:val="000000"/>
          <w:sz w:val="24"/>
          <w:szCs w:val="24"/>
          <w:highlight w:val="none"/>
        </w:rPr>
      </w:r>
      <w:r/>
    </w:p>
    <w:p>
      <w:pPr>
        <w:pStyle w:val="801"/>
        <w:ind w:firstLine="480"/>
        <w:keepLines w:val="0"/>
        <w:keepNext w:val="0"/>
        <w:pageBreakBefore w:val="0"/>
        <w:spacing w:line="31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3.承包人应对照廉洁管理要求，排查本项目部重点环节廉洁风险点，并定期开展自评。</w:t>
      </w:r>
      <w:r>
        <w:rPr>
          <w:rFonts w:hint="eastAsia" w:ascii="宋体" w:hAnsi="宋体" w:eastAsia="宋体" w:cs="宋体"/>
          <w:color w:val="000000"/>
          <w:sz w:val="24"/>
          <w:szCs w:val="24"/>
          <w:highlight w:val="none"/>
        </w:rPr>
      </w:r>
      <w:r/>
    </w:p>
    <w:p>
      <w:pPr>
        <w:pStyle w:val="801"/>
        <w:ind w:firstLine="480"/>
        <w:keepLines w:val="0"/>
        <w:keepNext w:val="0"/>
        <w:pageBreakBefore w:val="0"/>
        <w:spacing w:line="31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4.承包人应保证项目建设资金安全，不得挪用、截留、挤占，并按规定及时支付应发的农民工工资和材料、项目款。</w:t>
      </w:r>
      <w:r>
        <w:rPr>
          <w:rFonts w:hint="eastAsia" w:ascii="宋体" w:hAnsi="宋体" w:eastAsia="宋体" w:cs="宋体"/>
          <w:color w:val="000000"/>
          <w:sz w:val="24"/>
          <w:szCs w:val="24"/>
          <w:highlight w:val="none"/>
        </w:rPr>
      </w:r>
      <w:r/>
    </w:p>
    <w:p>
      <w:pPr>
        <w:pStyle w:val="801"/>
        <w:ind w:firstLine="480"/>
        <w:keepLines w:val="0"/>
        <w:keepNext w:val="0"/>
        <w:pageBreakBefore w:val="0"/>
        <w:spacing w:line="31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5.承包人不得以任何理由、任何方式向发包人及其工作人员行贿、赠送礼品礼金、消费卡（券）、有价证券、股权、其他金融产品等财物。</w:t>
      </w:r>
      <w:r>
        <w:rPr>
          <w:rFonts w:hint="eastAsia" w:ascii="宋体" w:hAnsi="宋体" w:eastAsia="宋体" w:cs="宋体"/>
          <w:color w:val="000000"/>
          <w:sz w:val="24"/>
          <w:szCs w:val="24"/>
          <w:highlight w:val="none"/>
        </w:rPr>
      </w:r>
      <w:r/>
    </w:p>
    <w:p>
      <w:pPr>
        <w:pStyle w:val="801"/>
        <w:ind w:firstLine="480"/>
        <w:keepLines w:val="0"/>
        <w:keepNext w:val="0"/>
        <w:pageBreakBefore w:val="0"/>
        <w:spacing w:line="31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6.承包人不得以任何名义向发包人及其工作人员同赠送各种形式的报酬、回报、补贴等，或以讲课费、课题费、咨询费等名义变相送礼。</w:t>
      </w:r>
      <w:r>
        <w:rPr>
          <w:rFonts w:hint="eastAsia" w:ascii="宋体" w:hAnsi="宋体" w:eastAsia="宋体" w:cs="宋体"/>
          <w:color w:val="000000"/>
          <w:sz w:val="24"/>
          <w:szCs w:val="24"/>
          <w:highlight w:val="none"/>
        </w:rPr>
      </w:r>
      <w:r/>
    </w:p>
    <w:p>
      <w:pPr>
        <w:pStyle w:val="801"/>
        <w:ind w:firstLine="480"/>
        <w:keepLines w:val="0"/>
        <w:keepNext w:val="0"/>
        <w:pageBreakBefore w:val="0"/>
        <w:spacing w:line="31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7.承包人不得以任何理由为发包人及其工作人员提供可能影响公正执行公务的宴请或者旅游、健身、娱乐等活动。</w:t>
      </w:r>
      <w:r>
        <w:rPr>
          <w:rFonts w:hint="eastAsia" w:ascii="宋体" w:hAnsi="宋体" w:eastAsia="宋体" w:cs="宋体"/>
          <w:color w:val="000000"/>
          <w:sz w:val="24"/>
          <w:szCs w:val="24"/>
          <w:highlight w:val="none"/>
        </w:rPr>
      </w:r>
      <w:r/>
    </w:p>
    <w:p>
      <w:pPr>
        <w:pStyle w:val="801"/>
        <w:ind w:firstLine="480"/>
        <w:keepLines w:val="0"/>
        <w:keepNext w:val="0"/>
        <w:pageBreakBefore w:val="0"/>
        <w:spacing w:line="31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8.承包人不得以任何理由为发包人及其工作人员支付应由其个人及亲属、特定关系人结算的各种费用。</w:t>
      </w:r>
      <w:r>
        <w:rPr>
          <w:rFonts w:hint="eastAsia" w:ascii="宋体" w:hAnsi="宋体" w:eastAsia="宋体" w:cs="宋体"/>
          <w:color w:val="000000"/>
          <w:sz w:val="24"/>
          <w:szCs w:val="24"/>
          <w:highlight w:val="none"/>
        </w:rPr>
      </w:r>
      <w:r/>
    </w:p>
    <w:p>
      <w:pPr>
        <w:pStyle w:val="801"/>
        <w:ind w:firstLine="480"/>
        <w:keepLines w:val="0"/>
        <w:keepNext w:val="0"/>
        <w:pageBreakBefore w:val="0"/>
        <w:spacing w:line="31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9.承包人不得向发包人工作人员出借钱款、住房、车辆等。</w:t>
      </w:r>
      <w:r>
        <w:rPr>
          <w:rFonts w:hint="eastAsia" w:ascii="宋体" w:hAnsi="宋体" w:eastAsia="宋体" w:cs="宋体"/>
          <w:color w:val="000000"/>
          <w:sz w:val="24"/>
          <w:szCs w:val="24"/>
          <w:highlight w:val="none"/>
        </w:rPr>
      </w:r>
      <w:r/>
    </w:p>
    <w:p>
      <w:pPr>
        <w:pStyle w:val="801"/>
        <w:ind w:firstLine="480"/>
        <w:keepLines w:val="0"/>
        <w:keepNext w:val="0"/>
        <w:pageBreakBefore w:val="0"/>
        <w:spacing w:line="31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10.承包人不得有其他违反党风廉政建设和作风建设规定的行为。</w:t>
      </w:r>
      <w:r>
        <w:rPr>
          <w:rFonts w:hint="eastAsia" w:ascii="宋体" w:hAnsi="宋体" w:eastAsia="宋体" w:cs="宋体"/>
          <w:color w:val="000000"/>
          <w:sz w:val="24"/>
          <w:szCs w:val="24"/>
          <w:highlight w:val="none"/>
        </w:rPr>
      </w:r>
      <w:r/>
    </w:p>
    <w:p>
      <w:pPr>
        <w:pStyle w:val="801"/>
        <w:ind w:firstLine="480"/>
        <w:keepLines w:val="0"/>
        <w:keepNext w:val="0"/>
        <w:pageBreakBefore w:val="0"/>
        <w:spacing w:line="31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四、履约考核</w:t>
      </w:r>
      <w:r>
        <w:rPr>
          <w:rFonts w:hint="eastAsia" w:ascii="宋体" w:hAnsi="宋体" w:eastAsia="宋体" w:cs="宋体"/>
          <w:color w:val="000000"/>
          <w:sz w:val="24"/>
          <w:szCs w:val="24"/>
          <w:highlight w:val="none"/>
        </w:rPr>
      </w:r>
      <w:r/>
    </w:p>
    <w:p>
      <w:pPr>
        <w:pStyle w:val="801"/>
        <w:ind w:firstLine="480"/>
        <w:keepLines w:val="0"/>
        <w:keepNext w:val="0"/>
        <w:pageBreakBefore w:val="0"/>
        <w:spacing w:line="31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本合同由双方或双方上级单位的纪检部门负责监督执行。由发包人和本单位纪检部门对合同执行情况进行检查考核。</w:t>
      </w:r>
      <w:r>
        <w:rPr>
          <w:rFonts w:hint="eastAsia" w:ascii="宋体" w:hAnsi="宋体" w:eastAsia="宋体" w:cs="宋体"/>
          <w:color w:val="000000"/>
          <w:sz w:val="24"/>
          <w:szCs w:val="24"/>
          <w:highlight w:val="none"/>
        </w:rPr>
      </w:r>
      <w:r/>
    </w:p>
    <w:p>
      <w:pPr>
        <w:pStyle w:val="801"/>
        <w:ind w:firstLine="480"/>
        <w:keepLines w:val="0"/>
        <w:keepNext w:val="0"/>
        <w:pageBreakBefore w:val="0"/>
        <w:spacing w:line="31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五、违约责任</w:t>
      </w:r>
      <w:r>
        <w:rPr>
          <w:rFonts w:hint="eastAsia" w:ascii="宋体" w:hAnsi="宋体" w:eastAsia="宋体" w:cs="宋体"/>
          <w:color w:val="000000"/>
          <w:sz w:val="24"/>
          <w:szCs w:val="24"/>
          <w:highlight w:val="none"/>
        </w:rPr>
      </w:r>
      <w:r/>
    </w:p>
    <w:p>
      <w:pPr>
        <w:pStyle w:val="801"/>
        <w:ind w:firstLine="480"/>
        <w:keepLines w:val="0"/>
        <w:keepNext w:val="0"/>
        <w:pageBreakBefore w:val="0"/>
        <w:spacing w:line="31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1.发包人及其工作人员违反本合同第1、2条，按管理权限，依据有关规定给予党纪、政纪或组织处理；涉嫌犯罪的，移交司法机关追究刑事责任；给承包人单位造成经济损失的，应予以赔偿。</w:t>
      </w:r>
      <w:r>
        <w:rPr>
          <w:rFonts w:hint="eastAsia" w:ascii="宋体" w:hAnsi="宋体" w:eastAsia="宋体" w:cs="宋体"/>
          <w:color w:val="000000"/>
          <w:sz w:val="24"/>
          <w:szCs w:val="24"/>
          <w:highlight w:val="none"/>
        </w:rPr>
      </w:r>
      <w:r/>
    </w:p>
    <w:p>
      <w:pPr>
        <w:pStyle w:val="801"/>
        <w:ind w:firstLine="480"/>
        <w:keepLines w:val="0"/>
        <w:keepNext w:val="0"/>
        <w:pageBreakBefore w:val="0"/>
        <w:spacing w:line="31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t xml:space="preserve">承包人及其工作人员违反本合同第1、3条，按管理权限，依据有关规定责令纠正，并给予相应处理；给发包人单位造成经济损失的，应予以赔偿；发生违规违纪法行为或被纪检部门通报的，将禁止承包人参加苏北航务管理处及下属单位的政府采购活动、项目响应事宜或上报省财政厅，由财政厅对企业进行处理。</w:t>
      </w:r>
      <w:r>
        <w:rPr>
          <w:rFonts w:hint="eastAsia" w:ascii="宋体" w:hAnsi="宋体" w:eastAsia="宋体" w:cs="宋体"/>
          <w:color w:val="000000"/>
          <w:sz w:val="24"/>
          <w:szCs w:val="24"/>
          <w:highlight w:val="none"/>
        </w:rPr>
      </w:r>
      <w:r/>
    </w:p>
    <w:p>
      <w:pPr>
        <w:pStyle w:val="801"/>
        <w:ind w:firstLine="480"/>
        <w:keepLines w:val="0"/>
        <w:keepNext w:val="0"/>
        <w:pageBreakBefore w:val="0"/>
        <w:spacing w:line="31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六、本合同有效期为发包人和承包人签署之日起至该项目竣工验收合止。</w:t>
      </w:r>
      <w:r>
        <w:rPr>
          <w:rFonts w:hint="eastAsia" w:ascii="宋体" w:hAnsi="宋体" w:eastAsia="宋体" w:cs="宋体"/>
          <w:color w:val="000000"/>
          <w:sz w:val="24"/>
          <w:szCs w:val="24"/>
          <w:highlight w:val="none"/>
        </w:rPr>
      </w:r>
      <w:r/>
    </w:p>
    <w:p>
      <w:pPr>
        <w:pStyle w:val="801"/>
        <w:ind w:firstLine="480"/>
        <w:keepLines w:val="0"/>
        <w:keepNext w:val="0"/>
        <w:pageBreakBefore w:val="0"/>
        <w:spacing w:line="31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七、本合同作为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项目合同的附件，与该合同具有同等的法律效力，经合同双方签署后立即生效。若发生合同约定以外的行为，由双方协商解决。</w:t>
      </w:r>
      <w:r>
        <w:rPr>
          <w:rFonts w:hint="eastAsia" w:ascii="宋体" w:hAnsi="宋体" w:eastAsia="宋体" w:cs="宋体"/>
          <w:color w:val="000000"/>
          <w:sz w:val="24"/>
          <w:szCs w:val="24"/>
          <w:highlight w:val="none"/>
        </w:rPr>
      </w:r>
      <w:r/>
    </w:p>
    <w:p>
      <w:pPr>
        <w:pStyle w:val="801"/>
        <w:ind w:firstLine="480"/>
        <w:keepLines w:val="0"/>
        <w:keepNext w:val="0"/>
        <w:pageBreakBefore w:val="0"/>
        <w:spacing w:line="31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八、本合同一式三分，合同各方各执一份、纪检监督一份。</w:t>
      </w:r>
      <w:r>
        <w:rPr>
          <w:rFonts w:hint="eastAsia" w:ascii="宋体" w:hAnsi="宋体" w:eastAsia="宋体" w:cs="宋体"/>
          <w:color w:val="000000"/>
          <w:sz w:val="24"/>
          <w:szCs w:val="24"/>
          <w:highlight w:val="none"/>
        </w:rPr>
      </w:r>
      <w:r/>
    </w:p>
    <w:p>
      <w:pPr>
        <w:pStyle w:val="801"/>
        <w:ind w:firstLine="480"/>
        <w:keepLines w:val="0"/>
        <w:keepNext w:val="0"/>
        <w:pageBreakBefore w:val="0"/>
        <w:spacing w:line="31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01"/>
        <w:ind w:firstLine="480"/>
        <w:keepLines w:val="0"/>
        <w:keepNext w:val="0"/>
        <w:pageBreakBefore w:val="0"/>
        <w:spacing w:line="31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发包人：苏北航务管理处扬州航务中心           承包人： </w:t>
      </w:r>
      <w:r>
        <w:rPr>
          <w:rFonts w:hint="eastAsia" w:ascii="宋体" w:hAnsi="宋体" w:eastAsia="宋体" w:cs="宋体"/>
          <w:color w:val="000000"/>
          <w:sz w:val="24"/>
          <w:szCs w:val="24"/>
          <w:highlight w:val="none"/>
        </w:rPr>
      </w:r>
      <w:r/>
    </w:p>
    <w:p>
      <w:pPr>
        <w:pStyle w:val="801"/>
        <w:ind w:firstLine="480"/>
        <w:keepLines w:val="0"/>
        <w:keepNext w:val="0"/>
        <w:pageBreakBefore w:val="0"/>
        <w:spacing w:line="31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01"/>
        <w:ind w:firstLine="480"/>
        <w:keepLines w:val="0"/>
        <w:keepNext w:val="0"/>
        <w:pageBreakBefore w:val="0"/>
        <w:spacing w:line="31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                                   法定代表人</w:t>
      </w:r>
      <w:r>
        <w:rPr>
          <w:rFonts w:hint="eastAsia" w:ascii="宋体" w:hAnsi="宋体" w:eastAsia="宋体" w:cs="宋体"/>
          <w:color w:val="000000"/>
          <w:sz w:val="24"/>
          <w:szCs w:val="24"/>
          <w:highlight w:val="none"/>
        </w:rPr>
      </w:r>
      <w:r/>
    </w:p>
    <w:p>
      <w:pPr>
        <w:pStyle w:val="801"/>
        <w:ind w:firstLine="480"/>
        <w:keepLines w:val="0"/>
        <w:keepNext w:val="0"/>
        <w:pageBreakBefore w:val="0"/>
        <w:spacing w:line="31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或其委托代理人：                             或其委托代理人：  </w:t>
      </w:r>
      <w:r>
        <w:rPr>
          <w:rFonts w:hint="eastAsia" w:ascii="宋体" w:hAnsi="宋体" w:eastAsia="宋体" w:cs="宋体"/>
          <w:color w:val="000000"/>
          <w:sz w:val="24"/>
          <w:szCs w:val="24"/>
          <w:highlight w:val="none"/>
        </w:rPr>
      </w:r>
      <w:r/>
    </w:p>
    <w:p>
      <w:pPr>
        <w:pStyle w:val="801"/>
        <w:ind w:firstLine="480"/>
        <w:keepLines w:val="0"/>
        <w:keepNext w:val="0"/>
        <w:pageBreakBefore w:val="0"/>
        <w:spacing w:line="31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01"/>
        <w:ind w:firstLine="480"/>
        <w:keepLines w:val="0"/>
        <w:keepNext w:val="0"/>
        <w:pageBreakBefore w:val="0"/>
        <w:spacing w:line="31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签约日期：      年  月  日                    签约日期：    年  月  日</w:t>
      </w:r>
      <w:r>
        <w:rPr>
          <w:rFonts w:hint="eastAsia" w:ascii="宋体" w:hAnsi="宋体" w:eastAsia="宋体" w:cs="宋体"/>
          <w:b/>
          <w:bCs/>
          <w:color w:val="000000"/>
          <w:sz w:val="24"/>
          <w:szCs w:val="24"/>
          <w:highlight w:val="none"/>
        </w:rPr>
        <w:br w:type="page" w:clear="all"/>
      </w:r>
      <w:bookmarkStart w:id="164" w:name="_Toc211090865"/>
      <w:r/>
      <w:bookmarkStart w:id="165" w:name="_Toc406752723"/>
      <w:r/>
      <w:bookmarkStart w:id="166" w:name="_Toc234382946"/>
      <w:r>
        <w:rPr>
          <w:rFonts w:hint="eastAsia" w:ascii="宋体" w:hAnsi="宋体" w:eastAsia="宋体" w:cs="宋体"/>
          <w:b/>
          <w:bCs/>
          <w:color w:val="000000"/>
          <w:sz w:val="24"/>
          <w:szCs w:val="24"/>
          <w:highlight w:val="none"/>
        </w:rPr>
        <w:t xml:space="preserve">附件三：安全生产合同</w:t>
      </w:r>
      <w:bookmarkEnd w:id="164"/>
      <w:r/>
      <w:bookmarkEnd w:id="165"/>
      <w:r/>
      <w:bookmarkEnd w:id="166"/>
      <w:r>
        <w:rPr>
          <w:rFonts w:hint="eastAsia" w:ascii="宋体" w:hAnsi="宋体" w:eastAsia="宋体" w:cs="宋体"/>
          <w:color w:val="000000"/>
          <w:sz w:val="24"/>
          <w:szCs w:val="24"/>
          <w:highlight w:val="none"/>
        </w:rPr>
      </w:r>
      <w:r/>
    </w:p>
    <w:p>
      <w:pPr>
        <w:pStyle w:val="801"/>
        <w:jc w:val="center"/>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安全生产合同</w:t>
      </w:r>
      <w:r>
        <w:rPr>
          <w:rFonts w:hint="eastAsia" w:ascii="宋体" w:hAnsi="宋体" w:eastAsia="宋体" w:cs="宋体"/>
          <w:b/>
          <w:color w:val="000000"/>
          <w:sz w:val="32"/>
          <w:szCs w:val="32"/>
          <w:highlight w:val="none"/>
        </w:rPr>
      </w:r>
      <w:r/>
    </w:p>
    <w:p>
      <w:pPr>
        <w:pStyle w:val="801"/>
        <w:ind w:firstLine="480"/>
        <w:keepLines w:val="0"/>
        <w:keepNext w:val="0"/>
        <w:pageBreakBefore w:val="0"/>
        <w:spacing w:line="31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为在</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（项目名称）</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标段施工合同的实施过程中创造安全、高效的施工环境，切实搞好本项目的安全管理工作，本项目发包人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（发包人名称，以下简称“发包人”）与承包人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（承包人名称，以下简称“承包人”）特此签订安全生产合同：</w:t>
      </w:r>
      <w:r>
        <w:rPr>
          <w:rFonts w:hint="eastAsia" w:ascii="宋体" w:hAnsi="宋体" w:eastAsia="宋体" w:cs="宋体"/>
          <w:color w:val="000000"/>
          <w:sz w:val="24"/>
          <w:szCs w:val="24"/>
          <w:highlight w:val="none"/>
        </w:rPr>
      </w:r>
      <w:r/>
    </w:p>
    <w:p>
      <w:pPr>
        <w:pStyle w:val="801"/>
        <w:ind w:firstLine="480"/>
        <w:keepLines w:val="0"/>
        <w:keepNext w:val="0"/>
        <w:pageBreakBefore w:val="0"/>
        <w:spacing w:line="31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1、发包人职责</w:t>
      </w:r>
      <w:r>
        <w:rPr>
          <w:rFonts w:hint="eastAsia" w:ascii="宋体" w:hAnsi="宋体" w:eastAsia="宋体" w:cs="宋体"/>
          <w:color w:val="000000"/>
          <w:sz w:val="24"/>
          <w:szCs w:val="24"/>
          <w:highlight w:val="none"/>
        </w:rPr>
      </w:r>
      <w:r/>
    </w:p>
    <w:p>
      <w:pPr>
        <w:pStyle w:val="801"/>
        <w:ind w:firstLine="480"/>
        <w:keepLines w:val="0"/>
        <w:keepNext w:val="0"/>
        <w:pageBreakBefore w:val="0"/>
        <w:spacing w:line="31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（1）严格遵守国家有关安全生产的法律法规，认真执行工程承包合同中的有关安全要求。</w:t>
      </w:r>
      <w:r>
        <w:rPr>
          <w:rFonts w:hint="eastAsia" w:ascii="宋体" w:hAnsi="宋体" w:eastAsia="宋体" w:cs="宋体"/>
          <w:color w:val="000000"/>
          <w:sz w:val="24"/>
          <w:szCs w:val="24"/>
          <w:highlight w:val="none"/>
        </w:rPr>
      </w:r>
      <w:r/>
    </w:p>
    <w:p>
      <w:pPr>
        <w:pStyle w:val="801"/>
        <w:ind w:firstLine="480"/>
        <w:keepLines w:val="0"/>
        <w:keepNext w:val="0"/>
        <w:pageBreakBefore w:val="0"/>
        <w:spacing w:line="31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（2）按照“安全第一、预防为主、综合治理”和坚持“管生产必须管安全”的原则进行安全生产管理，做到生产与安全工作同时计划、布置、检查、总结和评比。</w:t>
      </w:r>
      <w:r>
        <w:rPr>
          <w:rFonts w:hint="eastAsia" w:ascii="宋体" w:hAnsi="宋体" w:eastAsia="宋体" w:cs="宋体"/>
          <w:color w:val="000000"/>
          <w:sz w:val="24"/>
          <w:szCs w:val="24"/>
          <w:highlight w:val="none"/>
        </w:rPr>
      </w:r>
      <w:r/>
    </w:p>
    <w:p>
      <w:pPr>
        <w:pStyle w:val="801"/>
        <w:ind w:firstLine="480"/>
        <w:keepLines w:val="0"/>
        <w:keepNext w:val="0"/>
        <w:pageBreakBefore w:val="0"/>
        <w:spacing w:line="31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（3）重要的安全设施必须坚持与主体工程“三同时”的原则，即：同时设计、审批，同时施工，同时验收，投入使用。</w:t>
      </w:r>
      <w:r>
        <w:rPr>
          <w:rFonts w:hint="eastAsia" w:ascii="宋体" w:hAnsi="宋体" w:eastAsia="宋体" w:cs="宋体"/>
          <w:color w:val="000000"/>
          <w:sz w:val="24"/>
          <w:szCs w:val="24"/>
          <w:highlight w:val="none"/>
        </w:rPr>
      </w:r>
      <w:r/>
    </w:p>
    <w:p>
      <w:pPr>
        <w:pStyle w:val="801"/>
        <w:ind w:firstLine="480"/>
        <w:keepLines w:val="0"/>
        <w:keepNext w:val="0"/>
        <w:pageBreakBefore w:val="0"/>
        <w:spacing w:line="31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（4）定期召开安全生产调度会，及时传达中央及地方有关安全生产的精神。</w:t>
      </w:r>
      <w:r>
        <w:rPr>
          <w:rFonts w:hint="eastAsia" w:ascii="宋体" w:hAnsi="宋体" w:eastAsia="宋体" w:cs="宋体"/>
          <w:color w:val="000000"/>
          <w:sz w:val="24"/>
          <w:szCs w:val="24"/>
          <w:highlight w:val="none"/>
        </w:rPr>
      </w:r>
      <w:r/>
    </w:p>
    <w:p>
      <w:pPr>
        <w:pStyle w:val="801"/>
        <w:ind w:firstLine="480"/>
        <w:keepLines w:val="0"/>
        <w:keepNext w:val="0"/>
        <w:pageBreakBefore w:val="0"/>
        <w:spacing w:line="31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（5）组织对承包人施工现场进行安全生产检查，监督承包人及时处理发现的各种安全隐患。</w:t>
      </w:r>
      <w:r>
        <w:rPr>
          <w:rFonts w:hint="eastAsia" w:ascii="宋体" w:hAnsi="宋体" w:eastAsia="宋体" w:cs="宋体"/>
          <w:color w:val="000000"/>
          <w:sz w:val="24"/>
          <w:szCs w:val="24"/>
          <w:highlight w:val="none"/>
        </w:rPr>
      </w:r>
      <w:r/>
    </w:p>
    <w:p>
      <w:pPr>
        <w:pStyle w:val="801"/>
        <w:ind w:firstLine="480"/>
        <w:keepLines w:val="0"/>
        <w:keepNext w:val="0"/>
        <w:pageBreakBefore w:val="0"/>
        <w:spacing w:line="31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2、承包人职责</w:t>
      </w:r>
      <w:r>
        <w:rPr>
          <w:rFonts w:hint="eastAsia" w:ascii="宋体" w:hAnsi="宋体" w:eastAsia="宋体" w:cs="宋体"/>
          <w:color w:val="000000"/>
          <w:sz w:val="24"/>
          <w:szCs w:val="24"/>
          <w:highlight w:val="none"/>
        </w:rPr>
      </w:r>
      <w:r/>
    </w:p>
    <w:p>
      <w:pPr>
        <w:pStyle w:val="801"/>
        <w:ind w:firstLine="480"/>
        <w:keepLines w:val="0"/>
        <w:keepNext w:val="0"/>
        <w:pageBreakBefore w:val="0"/>
        <w:spacing w:line="31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（1）严格遵守《中华人民共和国安全生产法》、《建设工程安全生产管理条例》等国家有关安全生产的法律法规等有关安全生产的规定。认真执行工程承包合同中的有关安全要求。</w:t>
      </w:r>
      <w:r>
        <w:rPr>
          <w:rFonts w:hint="eastAsia" w:ascii="宋体" w:hAnsi="宋体" w:eastAsia="宋体" w:cs="宋体"/>
          <w:color w:val="000000"/>
          <w:sz w:val="24"/>
          <w:szCs w:val="24"/>
          <w:highlight w:val="none"/>
        </w:rPr>
      </w:r>
      <w:r/>
    </w:p>
    <w:p>
      <w:pPr>
        <w:pStyle w:val="801"/>
        <w:ind w:firstLine="480"/>
        <w:keepLines w:val="0"/>
        <w:keepNext w:val="0"/>
        <w:pageBreakBefore w:val="0"/>
        <w:spacing w:line="31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坚持“安全第一、预防为主、综合治理”和“管生产必须管安全”的原则，加强安全生产宣传教育，增强全员安全生产意识，建立健全各项安全生产的管理机构和安全生产管理制度，配备专职及兼职安全检查人员，有组织有领导地开展安全生产活动。各级领导、工程技术人员、生产管理人员和具体操作人员，必须熟悉和遵守本合同的各项规定，做到生产与安全工作同时计划、布置、检查、总结和评比。</w:t>
      </w:r>
      <w:r>
        <w:rPr>
          <w:rFonts w:hint="eastAsia" w:ascii="宋体" w:hAnsi="宋体" w:eastAsia="宋体" w:cs="宋体"/>
          <w:color w:val="000000"/>
          <w:sz w:val="24"/>
          <w:szCs w:val="24"/>
          <w:highlight w:val="none"/>
        </w:rPr>
      </w:r>
      <w:r/>
    </w:p>
    <w:p>
      <w:pPr>
        <w:pStyle w:val="801"/>
        <w:ind w:firstLine="480"/>
        <w:keepLines w:val="0"/>
        <w:keepNext w:val="0"/>
        <w:pageBreakBefore w:val="0"/>
        <w:spacing w:line="31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建立健全安全生产责任制。从派往项目实施的项目经理到生产工人（包括临时雇请的民工）的安全生产管理系统必须做到纵向到底，一环不漏；各职能部门、人员的安全生产责任制做到横向到边，人人有责。项目经理是安全生产的第一责任人。现场设置的安全机构，应按《公路水运工程安全生产监督管理办法》规定的最低数量和资质条件配备专职安全生产管理人员，专职负责所有员工的安全和治安保卫工作及预防事故的发生。安全机构人员有权按有关规定发布指令，并采取保护性措施防止事故发生。</w:t>
      </w:r>
      <w:r>
        <w:rPr>
          <w:rFonts w:hint="eastAsia" w:ascii="宋体" w:hAnsi="宋体" w:eastAsia="宋体" w:cs="宋体"/>
          <w:color w:val="000000"/>
          <w:sz w:val="24"/>
          <w:szCs w:val="24"/>
          <w:highlight w:val="none"/>
        </w:rPr>
      </w:r>
      <w:r/>
    </w:p>
    <w:p>
      <w:pPr>
        <w:pStyle w:val="801"/>
        <w:ind w:firstLine="480"/>
        <w:keepLines w:val="0"/>
        <w:keepNext w:val="0"/>
        <w:pageBreakBefore w:val="0"/>
        <w:spacing w:line="31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（4）承包人在任何时候都应采取各种合理的预防措施，防止其员工发生任何违法、违禁、暴力或妨碍治安的行为。</w:t>
      </w:r>
      <w:r>
        <w:rPr>
          <w:rFonts w:hint="eastAsia" w:ascii="宋体" w:hAnsi="宋体" w:eastAsia="宋体" w:cs="宋体"/>
          <w:color w:val="000000"/>
          <w:sz w:val="24"/>
          <w:szCs w:val="24"/>
          <w:highlight w:val="none"/>
        </w:rPr>
      </w:r>
      <w:r/>
    </w:p>
    <w:p>
      <w:pPr>
        <w:pStyle w:val="801"/>
        <w:ind w:firstLine="480"/>
        <w:keepLines w:val="0"/>
        <w:keepNext w:val="0"/>
        <w:pageBreakBefore w:val="0"/>
        <w:spacing w:line="31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承包人必须具有劳动安全管理部门颁发的安全生产考核合格证书，参加施工的人员，必须接受安全技术教育，熟知和遵守本工种的各项安全技术操作规程，定期进行安全技术考核，合格者方准上岗操作。对于从事电气、起重、建筑登高架设作业、锅炉、压力容器、焊接、机动车船艇驾驶、爆破、潜水、瓦斯检验等特殊工种的人员，经过专业培训，获得《安全操作合格证》后，方准持证上岗。施工现场如出现特种作业无证操作现象时，项目经理必须承担管理责任。</w:t>
      </w:r>
      <w:r>
        <w:rPr>
          <w:rFonts w:hint="eastAsia" w:ascii="宋体" w:hAnsi="宋体" w:eastAsia="宋体" w:cs="宋体"/>
          <w:color w:val="000000"/>
          <w:sz w:val="24"/>
          <w:szCs w:val="24"/>
          <w:highlight w:val="none"/>
        </w:rPr>
      </w:r>
      <w:r/>
    </w:p>
    <w:p>
      <w:pPr>
        <w:pStyle w:val="801"/>
        <w:ind w:firstLine="480"/>
        <w:keepLines w:val="0"/>
        <w:keepNext w:val="0"/>
        <w:pageBreakBefore w:val="0"/>
        <w:spacing w:line="31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对于易燃易爆的材料除应专门妥善保管之外，还应配备有足够的消防设施，所有施工人员都应熟悉消防设备的性能和使用方法；承包人不得将任何种类的爆炸物给予、易货或以其他方式转让给任何其他人，或允许、容忍上述同样行为。</w:t>
      </w:r>
      <w:r>
        <w:rPr>
          <w:rFonts w:hint="eastAsia" w:ascii="宋体" w:hAnsi="宋体" w:eastAsia="宋体" w:cs="宋体"/>
          <w:color w:val="000000"/>
          <w:sz w:val="24"/>
          <w:szCs w:val="24"/>
          <w:highlight w:val="none"/>
        </w:rPr>
      </w:r>
      <w:r/>
    </w:p>
    <w:p>
      <w:pPr>
        <w:pStyle w:val="801"/>
        <w:ind w:firstLine="480"/>
        <w:keepLines w:val="0"/>
        <w:keepNext w:val="0"/>
        <w:pageBreakBefore w:val="0"/>
        <w:spacing w:line="31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（7）操作人员上岗，必须按规定穿戴防护用品。施工负责人和安全检查员应随时检查劳动防护用品的穿戴情况，不按规定穿戴防护用品的人员不得上岗。</w:t>
      </w:r>
      <w:r>
        <w:rPr>
          <w:rFonts w:hint="eastAsia" w:ascii="宋体" w:hAnsi="宋体" w:eastAsia="宋体" w:cs="宋体"/>
          <w:color w:val="000000"/>
          <w:sz w:val="24"/>
          <w:szCs w:val="24"/>
          <w:highlight w:val="none"/>
        </w:rPr>
      </w:r>
      <w:r/>
    </w:p>
    <w:p>
      <w:pPr>
        <w:pStyle w:val="801"/>
        <w:ind w:firstLine="480"/>
        <w:keepLines w:val="0"/>
        <w:keepNext w:val="0"/>
        <w:pageBreakBefore w:val="0"/>
        <w:spacing w:line="31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（8）所有施工机具设备和高空作业的设备均应定期检查，并有安全员的签字记录，保证其经常处于完好状态；不合格的机具、设备和劳动保护用品严禁使用。</w:t>
      </w:r>
      <w:r>
        <w:rPr>
          <w:rFonts w:hint="eastAsia" w:ascii="宋体" w:hAnsi="宋体" w:eastAsia="宋体" w:cs="宋体"/>
          <w:color w:val="000000"/>
          <w:sz w:val="24"/>
          <w:szCs w:val="24"/>
          <w:highlight w:val="none"/>
        </w:rPr>
      </w:r>
      <w:r/>
    </w:p>
    <w:p>
      <w:pPr>
        <w:pStyle w:val="801"/>
        <w:ind w:firstLine="480"/>
        <w:keepLines w:val="0"/>
        <w:keepNext w:val="0"/>
        <w:pageBreakBefore w:val="0"/>
        <w:spacing w:line="31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（9）施工中采用新技术、新工艺、新设备、新材料时，必须制定相应的安全技术措施，施工现场必须具有相关的安全标志牌。</w:t>
      </w:r>
      <w:r>
        <w:rPr>
          <w:rFonts w:hint="eastAsia" w:ascii="宋体" w:hAnsi="宋体" w:eastAsia="宋体" w:cs="宋体"/>
          <w:color w:val="000000"/>
          <w:sz w:val="24"/>
          <w:szCs w:val="24"/>
          <w:highlight w:val="none"/>
        </w:rPr>
      </w:r>
      <w:r/>
    </w:p>
    <w:p>
      <w:pPr>
        <w:pStyle w:val="801"/>
        <w:ind w:firstLine="480"/>
        <w:keepLines w:val="0"/>
        <w:keepNext w:val="0"/>
        <w:pageBreakBefore w:val="0"/>
        <w:spacing w:line="31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承包人必须按照本工程项目特点，组织制定本工程实施中的生产安全事故应急救援预案；如果发生安全事故，应按照《国务院关于特大安全事故行政责任追究的规定》以及其他有关规定，及时上报有关部门，并坚持“四不放过”的原则，严肃处理相关责任人。</w:t>
      </w:r>
      <w:r>
        <w:rPr>
          <w:rFonts w:hint="eastAsia" w:ascii="宋体" w:hAnsi="宋体" w:eastAsia="宋体" w:cs="宋体"/>
          <w:color w:val="000000"/>
          <w:sz w:val="24"/>
          <w:szCs w:val="24"/>
          <w:highlight w:val="none"/>
        </w:rPr>
      </w:r>
      <w:r/>
    </w:p>
    <w:p>
      <w:pPr>
        <w:pStyle w:val="801"/>
        <w:ind w:firstLine="480"/>
        <w:keepLines w:val="0"/>
        <w:keepNext w:val="0"/>
        <w:pageBreakBefore w:val="0"/>
        <w:spacing w:line="31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（11）安全生产费用按照《公路水运工程安全生产监督管理办法》的相关规定使用和管理。</w:t>
      </w:r>
      <w:r>
        <w:rPr>
          <w:rFonts w:hint="eastAsia" w:ascii="宋体" w:hAnsi="宋体" w:eastAsia="宋体" w:cs="宋体"/>
          <w:color w:val="000000"/>
          <w:sz w:val="24"/>
          <w:szCs w:val="24"/>
          <w:highlight w:val="none"/>
        </w:rPr>
      </w:r>
      <w:r/>
    </w:p>
    <w:p>
      <w:pPr>
        <w:pStyle w:val="801"/>
        <w:ind w:firstLine="480"/>
        <w:keepLines w:val="0"/>
        <w:keepNext w:val="0"/>
        <w:pageBreakBefore w:val="0"/>
        <w:spacing w:line="31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3、违约责任</w:t>
      </w:r>
      <w:r>
        <w:rPr>
          <w:rFonts w:hint="eastAsia" w:ascii="宋体" w:hAnsi="宋体" w:eastAsia="宋体" w:cs="宋体"/>
          <w:color w:val="000000"/>
          <w:sz w:val="24"/>
          <w:szCs w:val="24"/>
          <w:highlight w:val="none"/>
        </w:rPr>
      </w:r>
      <w:r/>
    </w:p>
    <w:p>
      <w:pPr>
        <w:pStyle w:val="801"/>
        <w:ind w:firstLine="480"/>
        <w:keepLines w:val="0"/>
        <w:keepNext w:val="0"/>
        <w:pageBreakBefore w:val="0"/>
        <w:spacing w:line="31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如因发包人或承包人违约造成安全事故，将依法追究责任。</w:t>
      </w:r>
      <w:r>
        <w:rPr>
          <w:rFonts w:hint="eastAsia" w:ascii="宋体" w:hAnsi="宋体" w:eastAsia="宋体" w:cs="宋体"/>
          <w:color w:val="000000"/>
          <w:sz w:val="24"/>
          <w:szCs w:val="24"/>
          <w:highlight w:val="none"/>
        </w:rPr>
      </w:r>
      <w:r/>
    </w:p>
    <w:p>
      <w:pPr>
        <w:pStyle w:val="801"/>
        <w:ind w:firstLine="480"/>
        <w:keepLines w:val="0"/>
        <w:keepNext w:val="0"/>
        <w:pageBreakBefore w:val="0"/>
        <w:spacing w:line="31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4、本合同由双方法定代表人或其授权的代理人签署并加盖单位章后生效，全部工程竣工验收后失效。</w:t>
      </w:r>
      <w:r>
        <w:rPr>
          <w:rFonts w:hint="eastAsia" w:ascii="宋体" w:hAnsi="宋体" w:eastAsia="宋体" w:cs="宋体"/>
          <w:color w:val="000000"/>
          <w:sz w:val="24"/>
          <w:szCs w:val="24"/>
          <w:highlight w:val="none"/>
        </w:rPr>
      </w:r>
      <w:r/>
    </w:p>
    <w:p>
      <w:pPr>
        <w:pStyle w:val="801"/>
        <w:ind w:firstLine="480"/>
        <w:keepLines w:val="0"/>
        <w:keepNext w:val="0"/>
        <w:pageBreakBefore w:val="0"/>
        <w:spacing w:line="31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5、本合同正本叁份、副本</w:t>
      </w:r>
      <w:r>
        <w:rPr>
          <w:rFonts w:hint="eastAsia" w:ascii="宋体" w:hAnsi="宋体" w:eastAsia="宋体" w:cs="宋体"/>
          <w:color w:val="000000"/>
          <w:sz w:val="24"/>
          <w:szCs w:val="24"/>
          <w:highlight w:val="none"/>
          <w:u w:val="single"/>
        </w:rPr>
        <w:t xml:space="preserve">叁</w:t>
      </w:r>
      <w:r>
        <w:rPr>
          <w:rFonts w:hint="eastAsia" w:ascii="宋体" w:hAnsi="宋体" w:eastAsia="宋体" w:cs="宋体"/>
          <w:color w:val="000000"/>
          <w:sz w:val="24"/>
          <w:szCs w:val="24"/>
          <w:highlight w:val="none"/>
        </w:rPr>
        <w:t xml:space="preserve">份，合同双方各执正本一份，副本</w:t>
      </w:r>
      <w:r>
        <w:rPr>
          <w:rFonts w:hint="eastAsia" w:ascii="宋体" w:hAnsi="宋体" w:eastAsia="宋体" w:cs="宋体"/>
          <w:color w:val="000000"/>
          <w:sz w:val="24"/>
          <w:szCs w:val="24"/>
          <w:highlight w:val="none"/>
          <w:u w:val="single"/>
        </w:rPr>
        <w:t xml:space="preserve">一 </w:t>
      </w:r>
      <w:r>
        <w:rPr>
          <w:rFonts w:hint="eastAsia" w:ascii="宋体" w:hAnsi="宋体" w:eastAsia="宋体" w:cs="宋体"/>
          <w:color w:val="000000"/>
          <w:sz w:val="24"/>
          <w:szCs w:val="24"/>
          <w:highlight w:val="none"/>
        </w:rPr>
        <w:t xml:space="preserve">份，当正本与副本的内容不一致时，以正本为准。</w:t>
      </w:r>
      <w:r>
        <w:rPr>
          <w:rFonts w:hint="eastAsia" w:ascii="宋体" w:hAnsi="宋体" w:eastAsia="宋体" w:cs="宋体"/>
          <w:color w:val="000000"/>
          <w:sz w:val="24"/>
          <w:szCs w:val="24"/>
          <w:highlight w:val="none"/>
        </w:rPr>
      </w:r>
      <w:r/>
    </w:p>
    <w:p>
      <w:pPr>
        <w:pStyle w:val="801"/>
        <w:ind w:firstLine="720"/>
        <w:keepLines w:val="0"/>
        <w:keepNext w:val="0"/>
        <w:pageBreakBefore w:val="0"/>
        <w:spacing w:line="31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01"/>
        <w:keepLines w:val="0"/>
        <w:keepNext w:val="0"/>
        <w:pageBreakBefore w:val="0"/>
        <w:spacing w:line="31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（盖单位章）   承包人：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（盖单位章）</w:t>
      </w:r>
      <w:r>
        <w:rPr>
          <w:rFonts w:hint="eastAsia" w:ascii="宋体" w:hAnsi="宋体" w:eastAsia="宋体" w:cs="宋体"/>
          <w:color w:val="000000"/>
          <w:sz w:val="24"/>
          <w:szCs w:val="24"/>
          <w:highlight w:val="none"/>
        </w:rPr>
      </w:r>
      <w:r/>
    </w:p>
    <w:p>
      <w:pPr>
        <w:pStyle w:val="801"/>
        <w:keepLines w:val="0"/>
        <w:keepNext w:val="0"/>
        <w:pageBreakBefore w:val="0"/>
        <w:spacing w:line="31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01"/>
        <w:keepLines w:val="0"/>
        <w:keepNext w:val="0"/>
        <w:pageBreakBefore w:val="0"/>
        <w:spacing w:line="31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                               法定代表人</w:t>
      </w:r>
      <w:r>
        <w:rPr>
          <w:rFonts w:hint="eastAsia" w:ascii="宋体" w:hAnsi="宋体" w:eastAsia="宋体" w:cs="宋体"/>
          <w:color w:val="000000"/>
          <w:sz w:val="24"/>
          <w:szCs w:val="24"/>
          <w:highlight w:val="none"/>
        </w:rPr>
      </w:r>
      <w:r/>
    </w:p>
    <w:p>
      <w:pPr>
        <w:pStyle w:val="801"/>
        <w:keepLines w:val="0"/>
        <w:keepNext w:val="0"/>
        <w:pageBreakBefore w:val="0"/>
        <w:spacing w:line="31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或其委托代理人：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（签字）             或其委托代理人：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（签字）</w:t>
      </w:r>
      <w:r>
        <w:rPr>
          <w:rFonts w:hint="eastAsia" w:ascii="宋体" w:hAnsi="宋体" w:eastAsia="宋体" w:cs="宋体"/>
          <w:color w:val="000000"/>
          <w:sz w:val="24"/>
          <w:szCs w:val="24"/>
          <w:highlight w:val="none"/>
        </w:rPr>
      </w:r>
      <w:r/>
    </w:p>
    <w:p>
      <w:pPr>
        <w:pStyle w:val="801"/>
        <w:keepLines w:val="0"/>
        <w:keepNext w:val="0"/>
        <w:pageBreakBefore w:val="0"/>
        <w:spacing w:line="31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月＿日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月＿日</w:t>
      </w:r>
      <w:r>
        <w:rPr>
          <w:rFonts w:hint="eastAsia" w:ascii="宋体" w:hAnsi="宋体" w:eastAsia="宋体" w:cs="宋体"/>
          <w:color w:val="000000"/>
          <w:sz w:val="24"/>
          <w:szCs w:val="24"/>
          <w:highlight w:val="none"/>
        </w:rPr>
      </w:r>
      <w:r/>
    </w:p>
    <w:p>
      <w:pPr>
        <w:pStyle w:val="801"/>
        <w:numPr>
          <w:ilvl w:val="0"/>
          <w:numId w:val="3"/>
        </w:numPr>
        <w:jc w:val="center"/>
        <w:rPr>
          <w:rFonts w:hint="eastAsia" w:ascii="宋体" w:hAnsi="宋体" w:eastAsia="宋体" w:cs="宋体"/>
          <w:b/>
          <w:bCs/>
          <w:color w:val="000000"/>
          <w:sz w:val="32"/>
          <w:szCs w:val="32"/>
          <w:highlight w:val="none"/>
        </w:rPr>
      </w:pPr>
      <w:r>
        <w:rPr>
          <w:rFonts w:hint="eastAsia" w:ascii="宋体" w:hAnsi="宋体" w:eastAsia="宋体" w:cs="宋体"/>
          <w:color w:val="000000"/>
          <w:sz w:val="24"/>
          <w:szCs w:val="24"/>
          <w:highlight w:val="none"/>
        </w:rPr>
        <w:br w:type="page" w:clear="all"/>
      </w:r>
      <w:bookmarkStart w:id="167" w:name="_Toc211090866"/>
      <w:r>
        <w:rPr>
          <w:rFonts w:hint="eastAsia" w:ascii="宋体" w:hAnsi="宋体" w:eastAsia="宋体" w:cs="宋体"/>
          <w:b/>
          <w:bCs/>
          <w:color w:val="000000"/>
          <w:sz w:val="32"/>
          <w:szCs w:val="32"/>
          <w:highlight w:val="none"/>
        </w:rPr>
        <w:t xml:space="preserve"> 工程量清单</w:t>
      </w:r>
      <w:bookmarkEnd w:id="167"/>
      <w:r>
        <w:rPr>
          <w:rFonts w:hint="eastAsia" w:ascii="宋体" w:hAnsi="宋体" w:eastAsia="宋体" w:cs="宋体"/>
          <w:b/>
          <w:bCs/>
          <w:color w:val="000000"/>
          <w:sz w:val="32"/>
          <w:szCs w:val="32"/>
          <w:highlight w:val="none"/>
        </w:rPr>
      </w:r>
      <w:r/>
    </w:p>
    <w:tbl>
      <w:tblPr>
        <w:tblW w:w="9099" w:type="dxa"/>
        <w:tblInd w:w="-10"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430"/>
        <w:gridCol w:w="1160"/>
        <w:gridCol w:w="6120"/>
        <w:gridCol w:w="549"/>
        <w:gridCol w:w="840"/>
      </w:tblGrid>
      <w:tr>
        <w:trPr>
          <w:trHeight w:val="585"/>
        </w:trPr>
        <w:tc>
          <w:tcPr>
            <w:gridSpan w:val="5"/>
            <w:shd w:val="clear" w:color="ffffff" w:fill="ffffff"/>
            <w:tcW w:w="9099" w:type="dxa"/>
            <w:vAlign w:val="center"/>
            <w:textDirection w:val="lrTb"/>
            <w:noWrap w:val="false"/>
          </w:tcPr>
          <w:p>
            <w:pPr>
              <w:pStyle w:val="801"/>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施桥二线船闸下游靠船墩专项养护改造项目工程量清单</w:t>
            </w:r>
            <w:r>
              <w:rPr>
                <w:rFonts w:hint="eastAsia" w:ascii="宋体" w:hAnsi="宋体" w:eastAsia="宋体" w:cs="宋体"/>
                <w:b/>
                <w:bCs/>
                <w:i w:val="0"/>
                <w:iCs w:val="0"/>
                <w:color w:val="000000"/>
                <w:sz w:val="24"/>
                <w:szCs w:val="24"/>
                <w:highlight w:val="none"/>
                <w:u w:val="none"/>
              </w:rPr>
            </w:r>
            <w:r/>
          </w:p>
        </w:tc>
      </w:tr>
      <w:tr>
        <w:trPr>
          <w:trHeight w:val="480"/>
        </w:trPr>
        <w:tc>
          <w:tcPr>
            <w:shd w:val="clear" w:color="ffffff" w:fill="ffffff"/>
            <w:tcW w:w="430" w:type="dxa"/>
            <w:vAlign w:val="center"/>
            <w:textDirection w:val="lrTb"/>
            <w:noWrap w:val="false"/>
          </w:tcPr>
          <w:p>
            <w:pPr>
              <w:pStyle w:val="801"/>
              <w:jc w:val="center"/>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编号</w:t>
            </w:r>
            <w:r>
              <w:rPr>
                <w:rFonts w:hint="eastAsia" w:ascii="宋体" w:hAnsi="宋体" w:eastAsia="宋体" w:cs="宋体"/>
                <w:i w:val="0"/>
                <w:iCs w:val="0"/>
                <w:color w:val="000000"/>
                <w:sz w:val="21"/>
                <w:szCs w:val="21"/>
                <w:highlight w:val="none"/>
                <w:u w:val="none"/>
              </w:rPr>
            </w:r>
            <w:r/>
          </w:p>
        </w:tc>
        <w:tc>
          <w:tcPr>
            <w:shd w:val="clear" w:color="ffffff" w:fill="ffffff"/>
            <w:tcW w:w="1160" w:type="dxa"/>
            <w:vAlign w:val="center"/>
            <w:textDirection w:val="lrTb"/>
            <w:noWrap w:val="false"/>
          </w:tcPr>
          <w:p>
            <w:pPr>
              <w:pStyle w:val="801"/>
              <w:jc w:val="center"/>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项目名称</w:t>
            </w:r>
            <w:r>
              <w:rPr>
                <w:rFonts w:hint="eastAsia" w:ascii="宋体" w:hAnsi="宋体" w:eastAsia="宋体" w:cs="宋体"/>
                <w:i w:val="0"/>
                <w:iCs w:val="0"/>
                <w:color w:val="000000"/>
                <w:sz w:val="21"/>
                <w:szCs w:val="21"/>
                <w:highlight w:val="none"/>
                <w:u w:val="none"/>
              </w:rPr>
            </w:r>
            <w:r/>
          </w:p>
        </w:tc>
        <w:tc>
          <w:tcPr>
            <w:shd w:val="clear" w:color="ffffff" w:fill="ffffff"/>
            <w:tcW w:w="6120" w:type="dxa"/>
            <w:vAlign w:val="center"/>
            <w:textDirection w:val="lrTb"/>
            <w:noWrap w:val="false"/>
          </w:tcPr>
          <w:p>
            <w:pPr>
              <w:pStyle w:val="801"/>
              <w:jc w:val="center"/>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项目特征</w:t>
            </w:r>
            <w:r>
              <w:rPr>
                <w:rFonts w:hint="eastAsia" w:ascii="宋体" w:hAnsi="宋体" w:eastAsia="宋体" w:cs="宋体"/>
                <w:i w:val="0"/>
                <w:iCs w:val="0"/>
                <w:color w:val="000000"/>
                <w:sz w:val="21"/>
                <w:szCs w:val="21"/>
                <w:highlight w:val="none"/>
                <w:u w:val="none"/>
              </w:rPr>
            </w:r>
            <w:r/>
          </w:p>
        </w:tc>
        <w:tc>
          <w:tcPr>
            <w:shd w:val="clear" w:color="ffffff" w:fill="ffffff"/>
            <w:tcW w:w="549" w:type="dxa"/>
            <w:vAlign w:val="center"/>
            <w:textDirection w:val="lrTb"/>
            <w:noWrap w:val="false"/>
          </w:tcPr>
          <w:p>
            <w:pPr>
              <w:pStyle w:val="801"/>
              <w:jc w:val="center"/>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计量单位</w:t>
            </w:r>
            <w:r>
              <w:rPr>
                <w:rFonts w:hint="eastAsia" w:ascii="宋体" w:hAnsi="宋体" w:eastAsia="宋体" w:cs="宋体"/>
                <w:i w:val="0"/>
                <w:iCs w:val="0"/>
                <w:color w:val="000000"/>
                <w:sz w:val="21"/>
                <w:szCs w:val="21"/>
                <w:highlight w:val="none"/>
                <w:u w:val="none"/>
              </w:rPr>
            </w:r>
            <w:r/>
          </w:p>
        </w:tc>
        <w:tc>
          <w:tcPr>
            <w:shd w:val="clear" w:color="ffffff" w:fill="ffffff"/>
            <w:tcW w:w="840" w:type="dxa"/>
            <w:vAlign w:val="center"/>
            <w:textDirection w:val="lrTb"/>
            <w:noWrap w:val="false"/>
          </w:tcPr>
          <w:p>
            <w:pPr>
              <w:pStyle w:val="801"/>
              <w:jc w:val="center"/>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工程数量</w:t>
            </w:r>
            <w:r>
              <w:rPr>
                <w:rFonts w:hint="eastAsia" w:ascii="宋体" w:hAnsi="宋体" w:eastAsia="宋体" w:cs="宋体"/>
                <w:i w:val="0"/>
                <w:iCs w:val="0"/>
                <w:color w:val="000000"/>
                <w:sz w:val="21"/>
                <w:szCs w:val="21"/>
                <w:highlight w:val="none"/>
                <w:u w:val="none"/>
              </w:rPr>
            </w:r>
            <w:r/>
          </w:p>
        </w:tc>
      </w:tr>
      <w:tr>
        <w:trPr>
          <w:trHeight w:val="2953"/>
        </w:trPr>
        <w:tc>
          <w:tcPr>
            <w:shd w:val="clear" w:color="ffffff" w:fill="ffffff"/>
            <w:tcW w:w="430" w:type="dxa"/>
            <w:vAlign w:val="center"/>
            <w:textDirection w:val="lrTb"/>
            <w:noWrap w:val="false"/>
          </w:tcPr>
          <w:p>
            <w:pPr>
              <w:pStyle w:val="801"/>
              <w:jc w:val="center"/>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shd w:val="clear" w:color="ffffff" w:fill="ffffff"/>
            <w:tcW w:w="1160" w:type="dxa"/>
            <w:vAlign w:val="center"/>
            <w:textDirection w:val="lrTb"/>
            <w:noWrap w:val="false"/>
          </w:tcPr>
          <w:p>
            <w:pPr>
              <w:pStyle w:val="801"/>
              <w:jc w:val="left"/>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拆除靠船墩、人行桥板梁</w:t>
            </w:r>
            <w:r>
              <w:rPr>
                <w:rFonts w:hint="eastAsia" w:ascii="宋体" w:hAnsi="宋体" w:eastAsia="宋体" w:cs="宋体"/>
                <w:i w:val="0"/>
                <w:iCs w:val="0"/>
                <w:color w:val="000000"/>
                <w:sz w:val="21"/>
                <w:szCs w:val="21"/>
                <w:highlight w:val="none"/>
                <w:u w:val="none"/>
              </w:rPr>
            </w:r>
            <w:r/>
          </w:p>
        </w:tc>
        <w:tc>
          <w:tcPr>
            <w:shd w:val="clear" w:color="ffffff" w:fill="ffffff"/>
            <w:tcW w:w="6120" w:type="dxa"/>
            <w:vAlign w:val="center"/>
            <w:textDirection w:val="lrTb"/>
            <w:noWrap w:val="false"/>
          </w:tcPr>
          <w:p>
            <w:pPr>
              <w:pStyle w:val="801"/>
              <w:jc w:val="left"/>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1.导航墙台帽和1-3#台帽及4#-14#靠船墩（包含附属船柱、系船钩、铁爬梯、档位牌、警示标牌，原宣传牌牌面等）及15#靠船墩局部拆除及外运工程量约1535.3立方米。</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2.人行桥板梁及附属15片约111立方米（包含、档位牌、警示标牌、原宣传牌牌面等拆除及外运。</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其他说明:⑴投标人应自行对照图纸、察勘现场，核查设计各项拆除工程量，如有偏差在投标报价中应综合考虑；⑵拆除中应采取有效的拆除措施，确保拆除物不坠落航道中，拆除后清理干净确保后续靠船墩施工；⑶投标人投标报价中应充分考虑所有拆除后的清理及拆除物堆放、转运、装车、外运、卸车、处置等费用；⑷本拆除项目报价包干使用，竣工结算不调整结算。</w:t>
            </w:r>
            <w:r>
              <w:rPr>
                <w:rFonts w:hint="eastAsia" w:ascii="宋体" w:hAnsi="宋体" w:eastAsia="宋体" w:cs="宋体"/>
                <w:i w:val="0"/>
                <w:iCs w:val="0"/>
                <w:color w:val="000000"/>
                <w:sz w:val="21"/>
                <w:szCs w:val="21"/>
                <w:highlight w:val="none"/>
                <w:u w:val="none"/>
              </w:rPr>
            </w:r>
            <w:r/>
          </w:p>
        </w:tc>
        <w:tc>
          <w:tcPr>
            <w:shd w:val="clear" w:color="ffffff" w:fill="ffffff"/>
            <w:tcW w:w="549" w:type="dxa"/>
            <w:vAlign w:val="center"/>
            <w:textDirection w:val="lrTb"/>
            <w:noWrap w:val="false"/>
          </w:tcPr>
          <w:p>
            <w:pPr>
              <w:pStyle w:val="801"/>
              <w:jc w:val="center"/>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rPr>
                <w:rFonts w:hint="eastAsia" w:ascii="宋体" w:hAnsi="宋体" w:eastAsia="宋体" w:cs="宋体"/>
                <w:i w:val="0"/>
                <w:iCs w:val="0"/>
                <w:color w:val="000000"/>
                <w:sz w:val="21"/>
                <w:szCs w:val="21"/>
                <w:highlight w:val="none"/>
                <w:u w:val="none"/>
              </w:rPr>
            </w:r>
            <w:r/>
          </w:p>
        </w:tc>
        <w:tc>
          <w:tcPr>
            <w:shd w:val="clear" w:color="ffffff" w:fill="ffffff"/>
            <w:tcW w:w="840" w:type="dxa"/>
            <w:vAlign w:val="center"/>
            <w:textDirection w:val="lrTb"/>
            <w:noWrap w:val="false"/>
          </w:tcPr>
          <w:p>
            <w:pPr>
              <w:pStyle w:val="801"/>
              <w:jc w:val="right"/>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r>
      <w:tr>
        <w:trPr>
          <w:trHeight w:val="960"/>
        </w:trPr>
        <w:tc>
          <w:tcPr>
            <w:shd w:val="clear" w:color="ffffff" w:fill="ffffff"/>
            <w:tcW w:w="430" w:type="dxa"/>
            <w:vAlign w:val="center"/>
            <w:textDirection w:val="lrTb"/>
            <w:noWrap w:val="false"/>
          </w:tcPr>
          <w:p>
            <w:pPr>
              <w:pStyle w:val="801"/>
              <w:jc w:val="center"/>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shd w:val="clear" w:color="ffffff" w:fill="ffffff"/>
            <w:tcW w:w="1160" w:type="dxa"/>
            <w:vAlign w:val="center"/>
            <w:textDirection w:val="lrTb"/>
            <w:noWrap w:val="false"/>
          </w:tcPr>
          <w:p>
            <w:pPr>
              <w:pStyle w:val="801"/>
              <w:jc w:val="left"/>
              <w:keepLines w:val="0"/>
              <w:keepNext w:val="0"/>
              <w:pageBreakBefore w:val="0"/>
              <w:spacing w:line="276" w:lineRule="auto"/>
              <w:widowControl w:val="off"/>
              <w:rPr>
                <w:rFonts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1#-3#台帽植筋01</w:t>
            </w:r>
            <w:r>
              <w:rPr>
                <w:rFonts w:ascii="宋体" w:hAnsi="宋体" w:eastAsia="宋体" w:cs="宋体"/>
                <w:i w:val="0"/>
                <w:iCs w:val="0"/>
                <w:color w:val="000000"/>
                <w:sz w:val="21"/>
                <w:szCs w:val="21"/>
                <w:highlight w:val="none"/>
                <w:u w:val="none"/>
                <w:lang w:val="en-US"/>
              </w:rPr>
            </w:r>
            <w:r/>
          </w:p>
        </w:tc>
        <w:tc>
          <w:tcPr>
            <w:shd w:val="clear" w:color="ffffff" w:fill="ffffff"/>
            <w:tcW w:w="6120" w:type="dxa"/>
            <w:vAlign w:val="center"/>
            <w:textDirection w:val="lrTb"/>
            <w:noWrap w:val="false"/>
          </w:tcPr>
          <w:p>
            <w:pPr>
              <w:pStyle w:val="801"/>
              <w:jc w:val="left"/>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1.材料种类、规格：16HRB400。</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2.植入深度：钻孔、清空、植入深度不小于300mm，钢筋长600mm。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3.植筋胶品种：改性环氧类或改性乙烯基醇类的胶粘剂。</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4.其他说明：其他要求详见图纸。</w:t>
            </w:r>
            <w:r>
              <w:rPr>
                <w:rFonts w:hint="eastAsia" w:ascii="宋体" w:hAnsi="宋体" w:eastAsia="宋体" w:cs="宋体"/>
                <w:i w:val="0"/>
                <w:iCs w:val="0"/>
                <w:color w:val="000000"/>
                <w:sz w:val="21"/>
                <w:szCs w:val="21"/>
                <w:highlight w:val="none"/>
                <w:u w:val="none"/>
              </w:rPr>
            </w:r>
            <w:r/>
          </w:p>
        </w:tc>
        <w:tc>
          <w:tcPr>
            <w:shd w:val="clear" w:color="ffffff" w:fill="ffffff"/>
            <w:tcW w:w="549" w:type="dxa"/>
            <w:vAlign w:val="center"/>
            <w:textDirection w:val="lrTb"/>
            <w:noWrap w:val="false"/>
          </w:tcPr>
          <w:p>
            <w:pPr>
              <w:pStyle w:val="801"/>
              <w:jc w:val="center"/>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根</w:t>
            </w:r>
            <w:r>
              <w:rPr>
                <w:rFonts w:hint="eastAsia" w:ascii="宋体" w:hAnsi="宋体" w:eastAsia="宋体" w:cs="宋体"/>
                <w:i w:val="0"/>
                <w:iCs w:val="0"/>
                <w:color w:val="000000"/>
                <w:sz w:val="21"/>
                <w:szCs w:val="21"/>
                <w:highlight w:val="none"/>
                <w:u w:val="none"/>
              </w:rPr>
            </w:r>
            <w:r/>
          </w:p>
        </w:tc>
        <w:tc>
          <w:tcPr>
            <w:shd w:val="clear" w:color="ffffff" w:fill="ffffff"/>
            <w:tcW w:w="840" w:type="dxa"/>
            <w:vAlign w:val="center"/>
            <w:textDirection w:val="lrTb"/>
            <w:noWrap w:val="false"/>
          </w:tcPr>
          <w:p>
            <w:pPr>
              <w:pStyle w:val="801"/>
              <w:jc w:val="right"/>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36</w:t>
            </w:r>
            <w:r>
              <w:rPr>
                <w:rFonts w:hint="eastAsia" w:ascii="宋体" w:hAnsi="宋体" w:eastAsia="宋体" w:cs="宋体"/>
                <w:i w:val="0"/>
                <w:iCs w:val="0"/>
                <w:color w:val="000000"/>
                <w:sz w:val="21"/>
                <w:szCs w:val="21"/>
                <w:highlight w:val="none"/>
                <w:u w:val="none"/>
              </w:rPr>
            </w:r>
            <w:r/>
          </w:p>
        </w:tc>
      </w:tr>
      <w:tr>
        <w:trPr>
          <w:trHeight w:val="960"/>
        </w:trPr>
        <w:tc>
          <w:tcPr>
            <w:shd w:val="clear" w:color="ffffff" w:fill="ffffff"/>
            <w:tcW w:w="430" w:type="dxa"/>
            <w:vAlign w:val="center"/>
            <w:textDirection w:val="lrTb"/>
            <w:noWrap w:val="false"/>
          </w:tcPr>
          <w:p>
            <w:pPr>
              <w:pStyle w:val="801"/>
              <w:jc w:val="center"/>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shd w:val="clear" w:color="ffffff" w:fill="ffffff"/>
            <w:tcW w:w="1160" w:type="dxa"/>
            <w:vAlign w:val="center"/>
            <w:textDirection w:val="lrTb"/>
            <w:noWrap w:val="false"/>
          </w:tcPr>
          <w:p>
            <w:pPr>
              <w:pStyle w:val="801"/>
              <w:jc w:val="left"/>
              <w:keepLines w:val="0"/>
              <w:keepNext w:val="0"/>
              <w:pageBreakBefore w:val="0"/>
              <w:spacing w:line="276" w:lineRule="auto"/>
              <w:widowControl w:val="off"/>
              <w:rPr>
                <w:rFonts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1#-3#台帽植筋02</w:t>
            </w:r>
            <w:r>
              <w:rPr>
                <w:rFonts w:ascii="宋体" w:hAnsi="宋体" w:eastAsia="宋体" w:cs="宋体"/>
                <w:i w:val="0"/>
                <w:iCs w:val="0"/>
                <w:color w:val="000000"/>
                <w:sz w:val="21"/>
                <w:szCs w:val="21"/>
                <w:highlight w:val="none"/>
                <w:u w:val="none"/>
                <w:lang w:val="en-US"/>
              </w:rPr>
            </w:r>
            <w:r/>
          </w:p>
        </w:tc>
        <w:tc>
          <w:tcPr>
            <w:shd w:val="clear" w:color="ffffff" w:fill="ffffff"/>
            <w:tcW w:w="6120" w:type="dxa"/>
            <w:vAlign w:val="center"/>
            <w:textDirection w:val="lrTb"/>
            <w:noWrap w:val="false"/>
          </w:tcPr>
          <w:p>
            <w:pPr>
              <w:pStyle w:val="801"/>
              <w:jc w:val="left"/>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1.材料种类、规格：12HRB400。</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2.植入深度：钻孔、清空、两头植入深度不小于150mm，钢筋长1520mm。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3.植筋胶品种：改性环氧类或改性乙烯基醇类的胶粘剂。</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4.其他说明：其他要求详见图纸。</w:t>
            </w:r>
            <w:r>
              <w:rPr>
                <w:rFonts w:hint="eastAsia" w:ascii="宋体" w:hAnsi="宋体" w:eastAsia="宋体" w:cs="宋体"/>
                <w:i w:val="0"/>
                <w:iCs w:val="0"/>
                <w:color w:val="000000"/>
                <w:sz w:val="21"/>
                <w:szCs w:val="21"/>
                <w:highlight w:val="none"/>
                <w:u w:val="none"/>
              </w:rPr>
            </w:r>
            <w:r/>
          </w:p>
        </w:tc>
        <w:tc>
          <w:tcPr>
            <w:shd w:val="clear" w:color="ffffff" w:fill="ffffff"/>
            <w:tcW w:w="549" w:type="dxa"/>
            <w:vAlign w:val="center"/>
            <w:textDirection w:val="lrTb"/>
            <w:noWrap w:val="false"/>
          </w:tcPr>
          <w:p>
            <w:pPr>
              <w:pStyle w:val="801"/>
              <w:jc w:val="center"/>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根</w:t>
            </w:r>
            <w:r>
              <w:rPr>
                <w:rFonts w:hint="eastAsia" w:ascii="宋体" w:hAnsi="宋体" w:eastAsia="宋体" w:cs="宋体"/>
                <w:i w:val="0"/>
                <w:iCs w:val="0"/>
                <w:color w:val="000000"/>
                <w:sz w:val="21"/>
                <w:szCs w:val="21"/>
                <w:highlight w:val="none"/>
                <w:u w:val="none"/>
              </w:rPr>
            </w:r>
            <w:r/>
          </w:p>
        </w:tc>
        <w:tc>
          <w:tcPr>
            <w:shd w:val="clear" w:color="ffffff" w:fill="ffffff"/>
            <w:tcW w:w="840" w:type="dxa"/>
            <w:vAlign w:val="center"/>
            <w:textDirection w:val="lrTb"/>
            <w:noWrap w:val="false"/>
          </w:tcPr>
          <w:p>
            <w:pPr>
              <w:pStyle w:val="801"/>
              <w:jc w:val="right"/>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rPr>
                <w:rFonts w:hint="eastAsia" w:ascii="宋体" w:hAnsi="宋体" w:eastAsia="宋体" w:cs="宋体"/>
                <w:i w:val="0"/>
                <w:iCs w:val="0"/>
                <w:color w:val="000000"/>
                <w:sz w:val="21"/>
                <w:szCs w:val="21"/>
                <w:highlight w:val="none"/>
                <w:u w:val="none"/>
              </w:rPr>
            </w:r>
            <w:r/>
          </w:p>
        </w:tc>
      </w:tr>
      <w:tr>
        <w:trPr>
          <w:trHeight w:val="1899"/>
        </w:trPr>
        <w:tc>
          <w:tcPr>
            <w:shd w:val="clear" w:color="ffffff" w:fill="ffffff"/>
            <w:tcW w:w="430" w:type="dxa"/>
            <w:vAlign w:val="center"/>
            <w:textDirection w:val="lrTb"/>
            <w:noWrap w:val="false"/>
          </w:tcPr>
          <w:p>
            <w:pPr>
              <w:pStyle w:val="801"/>
              <w:jc w:val="center"/>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shd w:val="clear" w:color="ffffff" w:fill="ffffff"/>
            <w:tcW w:w="1160" w:type="dxa"/>
            <w:vAlign w:val="center"/>
            <w:textDirection w:val="lrTb"/>
            <w:noWrap w:val="false"/>
          </w:tcPr>
          <w:p>
            <w:pPr>
              <w:pStyle w:val="801"/>
              <w:jc w:val="left"/>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1#-3#靠船墩出新</w:t>
            </w:r>
            <w:r>
              <w:rPr>
                <w:rFonts w:hint="eastAsia" w:ascii="宋体" w:hAnsi="宋体" w:eastAsia="宋体" w:cs="宋体"/>
                <w:i w:val="0"/>
                <w:iCs w:val="0"/>
                <w:color w:val="000000"/>
                <w:sz w:val="21"/>
                <w:szCs w:val="21"/>
                <w:highlight w:val="none"/>
                <w:u w:val="none"/>
              </w:rPr>
            </w:r>
            <w:r/>
          </w:p>
        </w:tc>
        <w:tc>
          <w:tcPr>
            <w:shd w:val="clear" w:color="ffffff" w:fill="ffffff"/>
            <w:tcW w:w="6120" w:type="dxa"/>
            <w:vAlign w:val="center"/>
            <w:textDirection w:val="lrTb"/>
            <w:noWrap w:val="false"/>
          </w:tcPr>
          <w:p>
            <w:pPr>
              <w:pStyle w:val="801"/>
              <w:jc w:val="left"/>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1.项目内容:⑴浆砌块石勾缝，采用 M20 水泥砂浆；⑵混凝土出新采用聚合物砂浆；⑶钢结构除锈，涂刷防腐涂层；⑷出新部位为墩体水面以上部分，施工选择低水位期进行，出新底高程不高于▽3.03；⑸单座靠船墩出新约为：浆砌块石勾缝、混凝土出新面积约90㎡、 1座系船柱、4座系船钩、2个钢护木、铁爬梯（共1座）钢结构除锈，涂刷防腐涂层，具体以现状为准。</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2.其他说明:⑴具体做法详见图纸；⑵投标人应自行勘察现场，报价时充分考虑现场施工条件等各种不利因素，竣工结算不调整清单报价。</w:t>
            </w:r>
            <w:r>
              <w:rPr>
                <w:rFonts w:hint="eastAsia" w:ascii="宋体" w:hAnsi="宋体" w:eastAsia="宋体" w:cs="宋体"/>
                <w:i w:val="0"/>
                <w:iCs w:val="0"/>
                <w:color w:val="000000"/>
                <w:sz w:val="21"/>
                <w:szCs w:val="21"/>
                <w:highlight w:val="none"/>
                <w:u w:val="none"/>
              </w:rPr>
            </w:r>
            <w:r/>
          </w:p>
        </w:tc>
        <w:tc>
          <w:tcPr>
            <w:shd w:val="clear" w:color="ffffff" w:fill="ffffff"/>
            <w:tcW w:w="549" w:type="dxa"/>
            <w:vAlign w:val="center"/>
            <w:textDirection w:val="lrTb"/>
            <w:noWrap w:val="false"/>
          </w:tcPr>
          <w:p>
            <w:pPr>
              <w:pStyle w:val="801"/>
              <w:jc w:val="center"/>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座</w:t>
            </w:r>
            <w:r>
              <w:rPr>
                <w:rFonts w:hint="eastAsia" w:ascii="宋体" w:hAnsi="宋体" w:eastAsia="宋体" w:cs="宋体"/>
                <w:i w:val="0"/>
                <w:iCs w:val="0"/>
                <w:color w:val="000000"/>
                <w:sz w:val="21"/>
                <w:szCs w:val="21"/>
                <w:highlight w:val="none"/>
                <w:u w:val="none"/>
              </w:rPr>
            </w:r>
            <w:r/>
          </w:p>
        </w:tc>
        <w:tc>
          <w:tcPr>
            <w:shd w:val="clear" w:color="ffffff" w:fill="ffffff"/>
            <w:tcW w:w="840" w:type="dxa"/>
            <w:vAlign w:val="center"/>
            <w:textDirection w:val="lrTb"/>
            <w:noWrap w:val="false"/>
          </w:tcPr>
          <w:p>
            <w:pPr>
              <w:pStyle w:val="801"/>
              <w:jc w:val="right"/>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r>
      <w:tr>
        <w:trPr>
          <w:trHeight w:val="1693"/>
        </w:trPr>
        <w:tc>
          <w:tcPr>
            <w:shd w:val="clear" w:color="ffffff" w:fill="ffffff"/>
            <w:tcW w:w="430" w:type="dxa"/>
            <w:vAlign w:val="center"/>
            <w:textDirection w:val="lrTb"/>
            <w:noWrap w:val="false"/>
          </w:tcPr>
          <w:p>
            <w:pPr>
              <w:pStyle w:val="801"/>
              <w:jc w:val="center"/>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1"/>
                <w:szCs w:val="21"/>
                <w:highlight w:val="none"/>
                <w:u w:val="none"/>
              </w:rPr>
            </w:r>
            <w:r/>
          </w:p>
        </w:tc>
        <w:tc>
          <w:tcPr>
            <w:shd w:val="clear" w:color="ffffff" w:fill="ffffff"/>
            <w:tcW w:w="1160" w:type="dxa"/>
            <w:vAlign w:val="center"/>
            <w:textDirection w:val="lrTb"/>
            <w:noWrap w:val="false"/>
          </w:tcPr>
          <w:p>
            <w:pPr>
              <w:pStyle w:val="801"/>
              <w:jc w:val="left"/>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1#-3#靠船墩台帽混凝土</w:t>
            </w:r>
            <w:r>
              <w:rPr>
                <w:rFonts w:hint="eastAsia" w:ascii="宋体" w:hAnsi="宋体" w:eastAsia="宋体" w:cs="宋体"/>
                <w:i w:val="0"/>
                <w:iCs w:val="0"/>
                <w:color w:val="000000"/>
                <w:sz w:val="21"/>
                <w:szCs w:val="21"/>
                <w:highlight w:val="none"/>
                <w:u w:val="none"/>
              </w:rPr>
            </w:r>
            <w:r/>
          </w:p>
        </w:tc>
        <w:tc>
          <w:tcPr>
            <w:shd w:val="clear" w:color="ffffff" w:fill="ffffff"/>
            <w:tcW w:w="6120" w:type="dxa"/>
            <w:vAlign w:val="center"/>
            <w:textDirection w:val="lrTb"/>
            <w:noWrap w:val="false"/>
          </w:tcPr>
          <w:p>
            <w:pPr>
              <w:pStyle w:val="801"/>
              <w:jc w:val="left"/>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1.混凝土种类及强度:C30商品砼。</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其他说明：本项目投标清单报价还应包括以下所有费用：⑴商品砼超距离（如有）运输运增加费用；⑵设计及施工验收规范（如有）要求的商品砼外加剂（如抗渗、抗裂等）费用；⑶施工中需要搭设浇筑脚手、浇筑平台、模板支护及拆除等措施费用；⑷完成本项目需要的其他费用。</w:t>
            </w:r>
            <w:r>
              <w:rPr>
                <w:rFonts w:hint="eastAsia" w:ascii="宋体" w:hAnsi="宋体" w:eastAsia="宋体" w:cs="宋体"/>
                <w:i w:val="0"/>
                <w:iCs w:val="0"/>
                <w:color w:val="000000"/>
                <w:sz w:val="21"/>
                <w:szCs w:val="21"/>
                <w:highlight w:val="none"/>
                <w:u w:val="none"/>
              </w:rPr>
            </w:r>
            <w:r/>
          </w:p>
        </w:tc>
        <w:tc>
          <w:tcPr>
            <w:shd w:val="clear" w:color="ffffff" w:fill="ffffff"/>
            <w:tcW w:w="549" w:type="dxa"/>
            <w:vAlign w:val="center"/>
            <w:textDirection w:val="lrTb"/>
            <w:noWrap w:val="false"/>
          </w:tcPr>
          <w:p>
            <w:pPr>
              <w:pStyle w:val="801"/>
              <w:jc w:val="center"/>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m³</w:t>
            </w:r>
            <w:r>
              <w:rPr>
                <w:rFonts w:hint="eastAsia" w:ascii="宋体" w:hAnsi="宋体" w:eastAsia="宋体" w:cs="宋体"/>
                <w:i w:val="0"/>
                <w:iCs w:val="0"/>
                <w:color w:val="000000"/>
                <w:sz w:val="21"/>
                <w:szCs w:val="21"/>
                <w:highlight w:val="none"/>
                <w:u w:val="none"/>
              </w:rPr>
            </w:r>
            <w:r/>
          </w:p>
        </w:tc>
        <w:tc>
          <w:tcPr>
            <w:shd w:val="clear" w:color="ffffff" w:fill="ffffff"/>
            <w:tcW w:w="840" w:type="dxa"/>
            <w:vAlign w:val="center"/>
            <w:textDirection w:val="lrTb"/>
            <w:noWrap w:val="false"/>
          </w:tcPr>
          <w:p>
            <w:pPr>
              <w:pStyle w:val="801"/>
              <w:jc w:val="right"/>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3.6</w:t>
            </w:r>
            <w:r>
              <w:rPr>
                <w:rFonts w:hint="eastAsia" w:ascii="宋体" w:hAnsi="宋体" w:eastAsia="宋体" w:cs="宋体"/>
                <w:i w:val="0"/>
                <w:iCs w:val="0"/>
                <w:color w:val="000000"/>
                <w:sz w:val="21"/>
                <w:szCs w:val="21"/>
                <w:highlight w:val="none"/>
                <w:u w:val="none"/>
              </w:rPr>
            </w:r>
            <w:r/>
          </w:p>
        </w:tc>
      </w:tr>
      <w:tr>
        <w:trPr>
          <w:trHeight w:val="1784"/>
        </w:trPr>
        <w:tc>
          <w:tcPr>
            <w:shd w:val="clear" w:color="ffffff" w:fill="ffffff"/>
            <w:tcW w:w="430" w:type="dxa"/>
            <w:vAlign w:val="center"/>
            <w:textDirection w:val="lrTb"/>
            <w:noWrap w:val="false"/>
          </w:tcPr>
          <w:p>
            <w:pPr>
              <w:pStyle w:val="801"/>
              <w:jc w:val="center"/>
              <w:keepLines w:val="0"/>
              <w:keepNext w:val="0"/>
              <w:pageBreakBefore w:val="0"/>
              <w:spacing w:line="23" w:lineRule="atLeast"/>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rFonts w:hint="eastAsia" w:ascii="宋体" w:hAnsi="宋体" w:eastAsia="宋体" w:cs="宋体"/>
                <w:i w:val="0"/>
                <w:iCs w:val="0"/>
                <w:color w:val="000000"/>
                <w:sz w:val="21"/>
                <w:szCs w:val="21"/>
                <w:highlight w:val="none"/>
                <w:u w:val="none"/>
              </w:rPr>
            </w:r>
            <w:r/>
          </w:p>
        </w:tc>
        <w:tc>
          <w:tcPr>
            <w:shd w:val="clear" w:color="ffffff" w:fill="ffffff"/>
            <w:tcW w:w="1160" w:type="dxa"/>
            <w:vAlign w:val="center"/>
            <w:textDirection w:val="lrTb"/>
            <w:noWrap w:val="false"/>
          </w:tcPr>
          <w:p>
            <w:pPr>
              <w:pStyle w:val="801"/>
              <w:jc w:val="left"/>
              <w:keepLines w:val="0"/>
              <w:keepNext w:val="0"/>
              <w:pageBreakBefore w:val="0"/>
              <w:spacing w:line="23" w:lineRule="atLeast"/>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4#-14#靠船墩改造系靠船墩01</w:t>
            </w:r>
            <w:r>
              <w:rPr>
                <w:rFonts w:hint="eastAsia" w:ascii="宋体" w:hAnsi="宋体" w:eastAsia="宋体" w:cs="宋体"/>
                <w:i w:val="0"/>
                <w:iCs w:val="0"/>
                <w:color w:val="000000"/>
                <w:sz w:val="21"/>
                <w:szCs w:val="21"/>
                <w:highlight w:val="none"/>
                <w:u w:val="none"/>
              </w:rPr>
            </w:r>
            <w:r/>
          </w:p>
        </w:tc>
        <w:tc>
          <w:tcPr>
            <w:shd w:val="clear" w:color="ffffff" w:fill="ffffff"/>
            <w:tcW w:w="6120" w:type="dxa"/>
            <w:vAlign w:val="center"/>
            <w:textDirection w:val="lrTb"/>
            <w:noWrap w:val="false"/>
          </w:tcPr>
          <w:p>
            <w:pPr>
              <w:pStyle w:val="801"/>
              <w:jc w:val="left"/>
              <w:keepLines w:val="0"/>
              <w:keepNext w:val="0"/>
              <w:pageBreakBefore w:val="0"/>
              <w:spacing w:line="23" w:lineRule="atLeast"/>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1.混凝土种类及强度:C30商品砼。</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其他说明：本项目投标清单报价还应包括以下所有费用：⑴商品砼超距离（如有）运输运增加费用；⑵设计及施工验收规范（如有）要求的商品砼外加剂（如抗渗、抗裂等）费用；⑶施工中需要搭设浇筑脚手、浇筑平台、模板支护及拆除等措施费用；⑷完成本项目需要的其他费用。</w:t>
            </w:r>
            <w:r>
              <w:rPr>
                <w:rFonts w:hint="eastAsia" w:ascii="宋体" w:hAnsi="宋体" w:eastAsia="宋体" w:cs="宋体"/>
                <w:i w:val="0"/>
                <w:iCs w:val="0"/>
                <w:color w:val="000000"/>
                <w:sz w:val="21"/>
                <w:szCs w:val="21"/>
                <w:highlight w:val="none"/>
                <w:u w:val="none"/>
              </w:rPr>
            </w:r>
            <w:r/>
          </w:p>
        </w:tc>
        <w:tc>
          <w:tcPr>
            <w:shd w:val="clear" w:color="ffffff" w:fill="ffffff"/>
            <w:tcW w:w="549" w:type="dxa"/>
            <w:vAlign w:val="center"/>
            <w:textDirection w:val="lrTb"/>
            <w:noWrap w:val="false"/>
          </w:tcPr>
          <w:p>
            <w:pPr>
              <w:pStyle w:val="801"/>
              <w:jc w:val="center"/>
              <w:keepLines w:val="0"/>
              <w:keepNext w:val="0"/>
              <w:pageBreakBefore w:val="0"/>
              <w:spacing w:line="23" w:lineRule="atLeast"/>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m³</w:t>
            </w:r>
            <w:r>
              <w:rPr>
                <w:rFonts w:hint="eastAsia" w:ascii="宋体" w:hAnsi="宋体" w:eastAsia="宋体" w:cs="宋体"/>
                <w:i w:val="0"/>
                <w:iCs w:val="0"/>
                <w:color w:val="000000"/>
                <w:sz w:val="21"/>
                <w:szCs w:val="21"/>
                <w:highlight w:val="none"/>
                <w:u w:val="none"/>
              </w:rPr>
            </w:r>
            <w:r/>
          </w:p>
        </w:tc>
        <w:tc>
          <w:tcPr>
            <w:shd w:val="clear" w:color="ffffff" w:fill="ffffff"/>
            <w:tcW w:w="840" w:type="dxa"/>
            <w:vAlign w:val="center"/>
            <w:textDirection w:val="lrTb"/>
            <w:noWrap w:val="false"/>
          </w:tcPr>
          <w:p>
            <w:pPr>
              <w:pStyle w:val="801"/>
              <w:jc w:val="right"/>
              <w:keepLines w:val="0"/>
              <w:keepNext w:val="0"/>
              <w:pageBreakBefore w:val="0"/>
              <w:spacing w:line="23" w:lineRule="atLeast"/>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2574</w:t>
            </w:r>
            <w:r>
              <w:rPr>
                <w:rFonts w:hint="eastAsia" w:ascii="宋体" w:hAnsi="宋体" w:eastAsia="宋体" w:cs="宋体"/>
                <w:i w:val="0"/>
                <w:iCs w:val="0"/>
                <w:color w:val="000000"/>
                <w:sz w:val="21"/>
                <w:szCs w:val="21"/>
                <w:highlight w:val="none"/>
                <w:u w:val="none"/>
              </w:rPr>
            </w:r>
            <w:r/>
          </w:p>
        </w:tc>
      </w:tr>
      <w:tr>
        <w:trPr>
          <w:trHeight w:val="2110"/>
        </w:trPr>
        <w:tc>
          <w:tcPr>
            <w:shd w:val="clear" w:color="ffffff" w:fill="ffffff"/>
            <w:tcW w:w="430" w:type="dxa"/>
            <w:vAlign w:val="center"/>
            <w:textDirection w:val="lrTb"/>
            <w:noWrap w:val="false"/>
          </w:tcPr>
          <w:p>
            <w:pPr>
              <w:pStyle w:val="801"/>
              <w:jc w:val="center"/>
              <w:keepLines w:val="0"/>
              <w:keepNext w:val="0"/>
              <w:pageBreakBefore w:val="0"/>
              <w:spacing w:line="23" w:lineRule="atLeast"/>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rPr>
                <w:rFonts w:hint="eastAsia" w:ascii="宋体" w:hAnsi="宋体" w:eastAsia="宋体" w:cs="宋体"/>
                <w:i w:val="0"/>
                <w:iCs w:val="0"/>
                <w:color w:val="000000"/>
                <w:sz w:val="21"/>
                <w:szCs w:val="21"/>
                <w:highlight w:val="none"/>
                <w:u w:val="none"/>
              </w:rPr>
            </w:r>
            <w:r/>
          </w:p>
        </w:tc>
        <w:tc>
          <w:tcPr>
            <w:shd w:val="clear" w:color="ffffff" w:fill="ffffff"/>
            <w:tcW w:w="1160" w:type="dxa"/>
            <w:vAlign w:val="center"/>
            <w:textDirection w:val="lrTb"/>
            <w:noWrap w:val="false"/>
          </w:tcPr>
          <w:p>
            <w:pPr>
              <w:pStyle w:val="801"/>
              <w:jc w:val="left"/>
              <w:keepLines w:val="0"/>
              <w:keepNext w:val="0"/>
              <w:pageBreakBefore w:val="0"/>
              <w:spacing w:line="23" w:lineRule="atLeast"/>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4#-14#靠船墩改造系靠船墩02</w:t>
            </w:r>
            <w:r>
              <w:rPr>
                <w:rFonts w:hint="eastAsia" w:ascii="宋体" w:hAnsi="宋体" w:eastAsia="宋体" w:cs="宋体"/>
                <w:i w:val="0"/>
                <w:iCs w:val="0"/>
                <w:color w:val="000000"/>
                <w:sz w:val="21"/>
                <w:szCs w:val="21"/>
                <w:highlight w:val="none"/>
                <w:u w:val="none"/>
              </w:rPr>
            </w:r>
            <w:r/>
          </w:p>
        </w:tc>
        <w:tc>
          <w:tcPr>
            <w:shd w:val="clear" w:color="ffffff" w:fill="ffffff"/>
            <w:tcW w:w="6120" w:type="dxa"/>
            <w:vAlign w:val="center"/>
            <w:textDirection w:val="lrTb"/>
            <w:noWrap w:val="false"/>
          </w:tcPr>
          <w:p>
            <w:pPr>
              <w:pStyle w:val="801"/>
              <w:jc w:val="left"/>
              <w:keepLines w:val="0"/>
              <w:keepNext w:val="0"/>
              <w:pageBreakBefore w:val="0"/>
              <w:spacing w:line="23" w:lineRule="atLeast"/>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1.混凝土种类及强度:C30水下不分散商品砼。</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其他说明：本项目投标清单报价还应包括以下所有费用：⑴商品砼超距离（如有）运输运增加费用；⑵设计及施工验收规范（如有）要求的商品砼外加剂（如抗渗、抗裂等）费用；⑶施工中需要搭设浇筑脚手、浇筑平台、模板支护及拆除等措施费用；⑷完成本项目需要的其他费用。</w:t>
            </w:r>
            <w:r>
              <w:rPr>
                <w:rFonts w:hint="eastAsia" w:ascii="宋体" w:hAnsi="宋体" w:eastAsia="宋体" w:cs="宋体"/>
                <w:i w:val="0"/>
                <w:iCs w:val="0"/>
                <w:color w:val="000000"/>
                <w:sz w:val="21"/>
                <w:szCs w:val="21"/>
                <w:highlight w:val="none"/>
                <w:u w:val="none"/>
              </w:rPr>
            </w:r>
            <w:r/>
          </w:p>
        </w:tc>
        <w:tc>
          <w:tcPr>
            <w:shd w:val="clear" w:color="ffffff" w:fill="ffffff"/>
            <w:tcW w:w="549" w:type="dxa"/>
            <w:vAlign w:val="center"/>
            <w:textDirection w:val="lrTb"/>
            <w:noWrap w:val="false"/>
          </w:tcPr>
          <w:p>
            <w:pPr>
              <w:pStyle w:val="801"/>
              <w:jc w:val="center"/>
              <w:keepLines w:val="0"/>
              <w:keepNext w:val="0"/>
              <w:pageBreakBefore w:val="0"/>
              <w:spacing w:line="23" w:lineRule="atLeast"/>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m³</w:t>
            </w:r>
            <w:r>
              <w:rPr>
                <w:rFonts w:hint="eastAsia" w:ascii="宋体" w:hAnsi="宋体" w:eastAsia="宋体" w:cs="宋体"/>
                <w:i w:val="0"/>
                <w:iCs w:val="0"/>
                <w:color w:val="000000"/>
                <w:sz w:val="21"/>
                <w:szCs w:val="21"/>
                <w:highlight w:val="none"/>
                <w:u w:val="none"/>
              </w:rPr>
            </w:r>
            <w:r/>
          </w:p>
        </w:tc>
        <w:tc>
          <w:tcPr>
            <w:shd w:val="clear" w:color="ffffff" w:fill="ffffff"/>
            <w:tcW w:w="840" w:type="dxa"/>
            <w:vAlign w:val="center"/>
            <w:textDirection w:val="lrTb"/>
            <w:noWrap w:val="false"/>
          </w:tcPr>
          <w:p>
            <w:pPr>
              <w:pStyle w:val="801"/>
              <w:jc w:val="right"/>
              <w:keepLines w:val="0"/>
              <w:keepNext w:val="0"/>
              <w:pageBreakBefore w:val="0"/>
              <w:spacing w:line="23" w:lineRule="atLeast"/>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110</w:t>
            </w:r>
            <w:r>
              <w:rPr>
                <w:rFonts w:hint="eastAsia" w:ascii="宋体" w:hAnsi="宋体" w:eastAsia="宋体" w:cs="宋体"/>
                <w:i w:val="0"/>
                <w:iCs w:val="0"/>
                <w:color w:val="000000"/>
                <w:sz w:val="21"/>
                <w:szCs w:val="21"/>
                <w:highlight w:val="none"/>
                <w:u w:val="none"/>
              </w:rPr>
            </w:r>
            <w:r/>
          </w:p>
        </w:tc>
      </w:tr>
      <w:tr>
        <w:trPr>
          <w:trHeight w:val="720"/>
        </w:trPr>
        <w:tc>
          <w:tcPr>
            <w:shd w:val="clear" w:color="ffffff" w:fill="ffffff"/>
            <w:tcW w:w="430" w:type="dxa"/>
            <w:vAlign w:val="center"/>
            <w:textDirection w:val="lrTb"/>
            <w:noWrap w:val="false"/>
          </w:tcPr>
          <w:p>
            <w:pPr>
              <w:pStyle w:val="801"/>
              <w:jc w:val="center"/>
              <w:keepLines w:val="0"/>
              <w:keepNext w:val="0"/>
              <w:pageBreakBefore w:val="0"/>
              <w:spacing w:line="23" w:lineRule="atLeast"/>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rPr>
                <w:rFonts w:hint="eastAsia" w:ascii="宋体" w:hAnsi="宋体" w:eastAsia="宋体" w:cs="宋体"/>
                <w:i w:val="0"/>
                <w:iCs w:val="0"/>
                <w:color w:val="000000"/>
                <w:sz w:val="21"/>
                <w:szCs w:val="21"/>
                <w:highlight w:val="none"/>
                <w:u w:val="none"/>
              </w:rPr>
            </w:r>
            <w:r/>
          </w:p>
        </w:tc>
        <w:tc>
          <w:tcPr>
            <w:shd w:val="clear" w:color="ffffff" w:fill="ffffff"/>
            <w:tcW w:w="1160" w:type="dxa"/>
            <w:vAlign w:val="center"/>
            <w:textDirection w:val="lrTb"/>
            <w:noWrap w:val="false"/>
          </w:tcPr>
          <w:p>
            <w:pPr>
              <w:pStyle w:val="801"/>
              <w:jc w:val="left"/>
              <w:keepLines w:val="0"/>
              <w:keepNext w:val="0"/>
              <w:pageBreakBefore w:val="0"/>
              <w:spacing w:line="23" w:lineRule="atLeast"/>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4#-14#靠船墩改造钢筋</w:t>
            </w:r>
            <w:r>
              <w:rPr>
                <w:rFonts w:hint="eastAsia" w:ascii="宋体" w:hAnsi="宋体" w:eastAsia="宋体" w:cs="宋体"/>
                <w:i w:val="0"/>
                <w:iCs w:val="0"/>
                <w:color w:val="000000"/>
                <w:sz w:val="21"/>
                <w:szCs w:val="21"/>
                <w:highlight w:val="none"/>
                <w:u w:val="none"/>
              </w:rPr>
            </w:r>
            <w:r/>
          </w:p>
        </w:tc>
        <w:tc>
          <w:tcPr>
            <w:shd w:val="clear" w:color="ffffff" w:fill="ffffff"/>
            <w:tcW w:w="6120" w:type="dxa"/>
            <w:vAlign w:val="center"/>
            <w:textDirection w:val="lrTb"/>
            <w:noWrap w:val="false"/>
          </w:tcPr>
          <w:p>
            <w:pPr>
              <w:pStyle w:val="801"/>
              <w:jc w:val="left"/>
              <w:keepLines w:val="0"/>
              <w:keepNext w:val="0"/>
              <w:pageBreakBefore w:val="0"/>
              <w:spacing w:line="23" w:lineRule="atLeast"/>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1.钢筋种类:HRB400。</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2.钢筋规格:大于等于Φ12。</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3.施工部位：墩身钢筋。</w:t>
            </w:r>
            <w:r>
              <w:rPr>
                <w:rFonts w:hint="eastAsia" w:ascii="宋体" w:hAnsi="宋体" w:eastAsia="宋体" w:cs="宋体"/>
                <w:i w:val="0"/>
                <w:iCs w:val="0"/>
                <w:color w:val="000000"/>
                <w:sz w:val="21"/>
                <w:szCs w:val="21"/>
                <w:highlight w:val="none"/>
                <w:u w:val="none"/>
              </w:rPr>
            </w:r>
            <w:r/>
          </w:p>
        </w:tc>
        <w:tc>
          <w:tcPr>
            <w:shd w:val="clear" w:color="ffffff" w:fill="ffffff"/>
            <w:tcW w:w="549" w:type="dxa"/>
            <w:vAlign w:val="center"/>
            <w:textDirection w:val="lrTb"/>
            <w:noWrap w:val="false"/>
          </w:tcPr>
          <w:p>
            <w:pPr>
              <w:pStyle w:val="801"/>
              <w:jc w:val="center"/>
              <w:keepLines w:val="0"/>
              <w:keepNext w:val="0"/>
              <w:pageBreakBefore w:val="0"/>
              <w:spacing w:line="23" w:lineRule="atLeast"/>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t</w:t>
            </w:r>
            <w:r>
              <w:rPr>
                <w:rFonts w:hint="eastAsia" w:ascii="宋体" w:hAnsi="宋体" w:eastAsia="宋体" w:cs="宋体"/>
                <w:i w:val="0"/>
                <w:iCs w:val="0"/>
                <w:color w:val="000000"/>
                <w:sz w:val="21"/>
                <w:szCs w:val="21"/>
                <w:highlight w:val="none"/>
                <w:u w:val="none"/>
              </w:rPr>
            </w:r>
            <w:r/>
          </w:p>
        </w:tc>
        <w:tc>
          <w:tcPr>
            <w:shd w:val="clear" w:color="ffffff" w:fill="ffffff"/>
            <w:tcW w:w="840" w:type="dxa"/>
            <w:vAlign w:val="center"/>
            <w:textDirection w:val="lrTb"/>
            <w:noWrap w:val="false"/>
          </w:tcPr>
          <w:p>
            <w:pPr>
              <w:pStyle w:val="801"/>
              <w:jc w:val="right"/>
              <w:keepLines w:val="0"/>
              <w:keepNext w:val="0"/>
              <w:pageBreakBefore w:val="0"/>
              <w:spacing w:line="23" w:lineRule="atLeast"/>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72.53</w:t>
            </w:r>
            <w:r>
              <w:rPr>
                <w:rFonts w:hint="eastAsia" w:ascii="宋体" w:hAnsi="宋体" w:eastAsia="宋体" w:cs="宋体"/>
                <w:i w:val="0"/>
                <w:iCs w:val="0"/>
                <w:color w:val="000000"/>
                <w:sz w:val="21"/>
                <w:szCs w:val="21"/>
                <w:highlight w:val="none"/>
                <w:u w:val="none"/>
              </w:rPr>
            </w:r>
            <w:r/>
          </w:p>
        </w:tc>
      </w:tr>
      <w:tr>
        <w:trPr>
          <w:trHeight w:val="3118"/>
        </w:trPr>
        <w:tc>
          <w:tcPr>
            <w:shd w:val="clear" w:color="ffffff" w:fill="ffffff"/>
            <w:tcW w:w="430" w:type="dxa"/>
            <w:vAlign w:val="center"/>
            <w:textDirection w:val="lrTb"/>
            <w:noWrap w:val="false"/>
          </w:tcPr>
          <w:p>
            <w:pPr>
              <w:pStyle w:val="801"/>
              <w:jc w:val="center"/>
              <w:keepLines w:val="0"/>
              <w:keepNext w:val="0"/>
              <w:pageBreakBefore w:val="0"/>
              <w:spacing w:line="23" w:lineRule="atLeast"/>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rPr>
                <w:rFonts w:hint="eastAsia" w:ascii="宋体" w:hAnsi="宋体" w:eastAsia="宋体" w:cs="宋体"/>
                <w:i w:val="0"/>
                <w:iCs w:val="0"/>
                <w:color w:val="000000"/>
                <w:sz w:val="21"/>
                <w:szCs w:val="21"/>
                <w:highlight w:val="none"/>
                <w:u w:val="none"/>
              </w:rPr>
            </w:r>
            <w:r/>
          </w:p>
        </w:tc>
        <w:tc>
          <w:tcPr>
            <w:shd w:val="clear" w:color="ffffff" w:fill="ffffff"/>
            <w:tcW w:w="1160" w:type="dxa"/>
            <w:vAlign w:val="center"/>
            <w:textDirection w:val="lrTb"/>
            <w:noWrap w:val="false"/>
          </w:tcPr>
          <w:p>
            <w:pPr>
              <w:pStyle w:val="801"/>
              <w:jc w:val="left"/>
              <w:keepLines w:val="0"/>
              <w:keepNext w:val="0"/>
              <w:pageBreakBefore w:val="0"/>
              <w:spacing w:line="23" w:lineRule="atLeast"/>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钢筋混凝土套箱</w:t>
            </w:r>
            <w:r>
              <w:rPr>
                <w:rFonts w:hint="eastAsia" w:ascii="宋体" w:hAnsi="宋体" w:eastAsia="宋体" w:cs="宋体"/>
                <w:i w:val="0"/>
                <w:iCs w:val="0"/>
                <w:color w:val="000000"/>
                <w:sz w:val="21"/>
                <w:szCs w:val="21"/>
                <w:highlight w:val="none"/>
                <w:u w:val="none"/>
              </w:rPr>
            </w:r>
            <w:r/>
          </w:p>
        </w:tc>
        <w:tc>
          <w:tcPr>
            <w:shd w:val="clear" w:color="ffffff" w:fill="ffffff"/>
            <w:tcW w:w="6120" w:type="dxa"/>
            <w:vAlign w:val="center"/>
            <w:textDirection w:val="lrTb"/>
            <w:noWrap w:val="false"/>
          </w:tcPr>
          <w:p>
            <w:pPr>
              <w:pStyle w:val="801"/>
              <w:jc w:val="left"/>
              <w:keepLines w:val="0"/>
              <w:keepNext w:val="0"/>
              <w:pageBreakBefore w:val="0"/>
              <w:spacing w:line="23" w:lineRule="atLeast"/>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1.混凝土种类及强度:C30商品砼。</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2.项目内容:钢筋混凝土套箱，尺寸为 7.2m*7.2m*7.6m*0.25m（长×宽×高×壁厚），具体明细尺寸等详见设计图纸。预制、运输、安装及安装前对墩体四周土方开挖清理及排水堵漏工作，满足后续施工要求。</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其他说明:本项目投标清单报价还应包括以下所有费用：⑴商品砼超距离（如有）运输运增加费用；⑵设计及施工验收规范（如有）要求的商品砼外加剂（如抗渗、抗裂等）费用；⑶施工中需要搭设浇筑脚手、浇筑平台、模板支护及拆除等措施费用；⑷完成本项目需要的其他费用。</w:t>
            </w:r>
            <w:r>
              <w:rPr>
                <w:rFonts w:hint="eastAsia" w:ascii="宋体" w:hAnsi="宋体" w:eastAsia="宋体" w:cs="宋体"/>
                <w:i w:val="0"/>
                <w:iCs w:val="0"/>
                <w:color w:val="000000"/>
                <w:sz w:val="21"/>
                <w:szCs w:val="21"/>
                <w:highlight w:val="none"/>
                <w:u w:val="none"/>
              </w:rPr>
            </w:r>
            <w:r/>
          </w:p>
        </w:tc>
        <w:tc>
          <w:tcPr>
            <w:shd w:val="clear" w:color="ffffff" w:fill="ffffff"/>
            <w:tcW w:w="549" w:type="dxa"/>
            <w:vAlign w:val="center"/>
            <w:textDirection w:val="lrTb"/>
            <w:noWrap w:val="false"/>
          </w:tcPr>
          <w:p>
            <w:pPr>
              <w:pStyle w:val="801"/>
              <w:jc w:val="center"/>
              <w:keepLines w:val="0"/>
              <w:keepNext w:val="0"/>
              <w:pageBreakBefore w:val="0"/>
              <w:spacing w:line="23" w:lineRule="atLeast"/>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件</w:t>
            </w:r>
            <w:r>
              <w:rPr>
                <w:rFonts w:hint="eastAsia" w:ascii="宋体" w:hAnsi="宋体" w:eastAsia="宋体" w:cs="宋体"/>
                <w:i w:val="0"/>
                <w:iCs w:val="0"/>
                <w:color w:val="000000"/>
                <w:sz w:val="21"/>
                <w:szCs w:val="21"/>
                <w:highlight w:val="none"/>
                <w:u w:val="none"/>
              </w:rPr>
            </w:r>
            <w:r/>
          </w:p>
        </w:tc>
        <w:tc>
          <w:tcPr>
            <w:shd w:val="clear" w:color="ffffff" w:fill="ffffff"/>
            <w:tcW w:w="840" w:type="dxa"/>
            <w:vAlign w:val="center"/>
            <w:textDirection w:val="lrTb"/>
            <w:noWrap w:val="false"/>
          </w:tcPr>
          <w:p>
            <w:pPr>
              <w:pStyle w:val="801"/>
              <w:jc w:val="right"/>
              <w:keepLines w:val="0"/>
              <w:keepNext w:val="0"/>
              <w:pageBreakBefore w:val="0"/>
              <w:spacing w:line="23" w:lineRule="atLeast"/>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rPr>
                <w:rFonts w:hint="eastAsia" w:ascii="宋体" w:hAnsi="宋体" w:eastAsia="宋体" w:cs="宋体"/>
                <w:i w:val="0"/>
                <w:iCs w:val="0"/>
                <w:color w:val="000000"/>
                <w:sz w:val="21"/>
                <w:szCs w:val="21"/>
                <w:highlight w:val="none"/>
                <w:u w:val="none"/>
              </w:rPr>
            </w:r>
            <w:r/>
          </w:p>
        </w:tc>
      </w:tr>
      <w:tr>
        <w:trPr>
          <w:trHeight w:val="480"/>
        </w:trPr>
        <w:tc>
          <w:tcPr>
            <w:shd w:val="clear" w:color="ffffff" w:fill="ffffff"/>
            <w:tcW w:w="430" w:type="dxa"/>
            <w:vAlign w:val="center"/>
            <w:textDirection w:val="lrTb"/>
            <w:noWrap w:val="false"/>
          </w:tcPr>
          <w:p>
            <w:pPr>
              <w:pStyle w:val="801"/>
              <w:jc w:val="center"/>
              <w:keepLines w:val="0"/>
              <w:keepNext w:val="0"/>
              <w:pageBreakBefore w:val="0"/>
              <w:spacing w:line="23" w:lineRule="atLeast"/>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rFonts w:hint="eastAsia" w:ascii="宋体" w:hAnsi="宋体" w:eastAsia="宋体" w:cs="宋体"/>
                <w:i w:val="0"/>
                <w:iCs w:val="0"/>
                <w:color w:val="000000"/>
                <w:sz w:val="21"/>
                <w:szCs w:val="21"/>
                <w:highlight w:val="none"/>
                <w:u w:val="none"/>
              </w:rPr>
            </w:r>
            <w:r/>
          </w:p>
        </w:tc>
        <w:tc>
          <w:tcPr>
            <w:shd w:val="clear" w:color="ffffff" w:fill="ffffff"/>
            <w:tcW w:w="1160" w:type="dxa"/>
            <w:vAlign w:val="center"/>
            <w:textDirection w:val="lrTb"/>
            <w:noWrap w:val="false"/>
          </w:tcPr>
          <w:p>
            <w:pPr>
              <w:pStyle w:val="801"/>
              <w:jc w:val="left"/>
              <w:keepLines w:val="0"/>
              <w:keepNext w:val="0"/>
              <w:pageBreakBefore w:val="0"/>
              <w:spacing w:line="23" w:lineRule="atLeast"/>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套箱含吊耳钢筋</w:t>
            </w:r>
            <w:r>
              <w:rPr>
                <w:rFonts w:hint="eastAsia" w:ascii="宋体" w:hAnsi="宋体" w:eastAsia="宋体" w:cs="宋体"/>
                <w:i w:val="0"/>
                <w:iCs w:val="0"/>
                <w:color w:val="000000"/>
                <w:sz w:val="21"/>
                <w:szCs w:val="21"/>
                <w:highlight w:val="none"/>
                <w:u w:val="none"/>
                <w:lang w:val="en-US" w:eastAsia="zh-CN" w:bidi="ar"/>
              </w:rPr>
              <w:t xml:space="preserve">01</w:t>
            </w:r>
            <w:r>
              <w:rPr>
                <w:rFonts w:hint="eastAsia" w:ascii="宋体" w:hAnsi="宋体" w:eastAsia="宋体" w:cs="宋体"/>
                <w:i w:val="0"/>
                <w:iCs w:val="0"/>
                <w:color w:val="000000"/>
                <w:sz w:val="21"/>
                <w:szCs w:val="21"/>
                <w:highlight w:val="none"/>
                <w:u w:val="none"/>
              </w:rPr>
            </w:r>
            <w:r/>
          </w:p>
        </w:tc>
        <w:tc>
          <w:tcPr>
            <w:shd w:val="clear" w:color="ffffff" w:fill="ffffff"/>
            <w:tcW w:w="6120" w:type="dxa"/>
            <w:vAlign w:val="center"/>
            <w:textDirection w:val="lrTb"/>
            <w:noWrap w:val="false"/>
          </w:tcPr>
          <w:p>
            <w:pPr>
              <w:pStyle w:val="801"/>
              <w:jc w:val="left"/>
              <w:keepLines w:val="0"/>
              <w:keepNext w:val="0"/>
              <w:pageBreakBefore w:val="0"/>
              <w:spacing w:line="23" w:lineRule="atLeast"/>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1.钢筋种类:12、16、22～HRB400。</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2.施工部位：预制钢筋混凝土套箱含吊耳钢筋。</w:t>
            </w:r>
            <w:r>
              <w:rPr>
                <w:rFonts w:hint="eastAsia" w:ascii="宋体" w:hAnsi="宋体" w:eastAsia="宋体" w:cs="宋体"/>
                <w:i w:val="0"/>
                <w:iCs w:val="0"/>
                <w:color w:val="000000"/>
                <w:sz w:val="21"/>
                <w:szCs w:val="21"/>
                <w:highlight w:val="none"/>
                <w:u w:val="none"/>
              </w:rPr>
            </w:r>
            <w:r/>
          </w:p>
        </w:tc>
        <w:tc>
          <w:tcPr>
            <w:shd w:val="clear" w:color="ffffff" w:fill="ffffff"/>
            <w:tcW w:w="549" w:type="dxa"/>
            <w:vAlign w:val="center"/>
            <w:textDirection w:val="lrTb"/>
            <w:noWrap w:val="false"/>
          </w:tcPr>
          <w:p>
            <w:pPr>
              <w:pStyle w:val="801"/>
              <w:jc w:val="center"/>
              <w:keepLines w:val="0"/>
              <w:keepNext w:val="0"/>
              <w:pageBreakBefore w:val="0"/>
              <w:spacing w:line="23" w:lineRule="atLeast"/>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t</w:t>
            </w:r>
            <w:r>
              <w:rPr>
                <w:rFonts w:hint="eastAsia" w:ascii="宋体" w:hAnsi="宋体" w:eastAsia="宋体" w:cs="宋体"/>
                <w:i w:val="0"/>
                <w:iCs w:val="0"/>
                <w:color w:val="000000"/>
                <w:sz w:val="21"/>
                <w:szCs w:val="21"/>
                <w:highlight w:val="none"/>
                <w:u w:val="none"/>
              </w:rPr>
            </w:r>
            <w:r/>
          </w:p>
        </w:tc>
        <w:tc>
          <w:tcPr>
            <w:shd w:val="clear" w:color="ffffff" w:fill="ffffff"/>
            <w:tcW w:w="840" w:type="dxa"/>
            <w:vAlign w:val="center"/>
            <w:textDirection w:val="lrTb"/>
            <w:noWrap w:val="false"/>
          </w:tcPr>
          <w:p>
            <w:pPr>
              <w:pStyle w:val="801"/>
              <w:jc w:val="right"/>
              <w:keepLines w:val="0"/>
              <w:keepNext w:val="0"/>
              <w:pageBreakBefore w:val="0"/>
              <w:spacing w:line="23" w:lineRule="atLeast"/>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88.72</w:t>
            </w:r>
            <w:r>
              <w:rPr>
                <w:rFonts w:hint="eastAsia" w:ascii="宋体" w:hAnsi="宋体" w:eastAsia="宋体" w:cs="宋体"/>
                <w:i w:val="0"/>
                <w:iCs w:val="0"/>
                <w:color w:val="000000"/>
                <w:sz w:val="21"/>
                <w:szCs w:val="21"/>
                <w:highlight w:val="none"/>
                <w:u w:val="none"/>
              </w:rPr>
            </w:r>
            <w:r/>
          </w:p>
        </w:tc>
      </w:tr>
      <w:tr>
        <w:trPr>
          <w:trHeight w:val="480"/>
        </w:trPr>
        <w:tc>
          <w:tcPr>
            <w:shd w:val="clear" w:color="ffffff" w:fill="ffffff"/>
            <w:tcW w:w="430" w:type="dxa"/>
            <w:vAlign w:val="center"/>
            <w:textDirection w:val="lrTb"/>
            <w:noWrap w:val="false"/>
          </w:tcPr>
          <w:p>
            <w:pPr>
              <w:pStyle w:val="801"/>
              <w:jc w:val="center"/>
              <w:keepLines w:val="0"/>
              <w:keepNext w:val="0"/>
              <w:pageBreakBefore w:val="0"/>
              <w:spacing w:line="23" w:lineRule="atLeast"/>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rPr>
                <w:rFonts w:hint="eastAsia" w:ascii="宋体" w:hAnsi="宋体" w:eastAsia="宋体" w:cs="宋体"/>
                <w:i w:val="0"/>
                <w:iCs w:val="0"/>
                <w:color w:val="000000"/>
                <w:sz w:val="21"/>
                <w:szCs w:val="21"/>
                <w:highlight w:val="none"/>
                <w:u w:val="none"/>
              </w:rPr>
            </w:r>
            <w:r/>
          </w:p>
        </w:tc>
        <w:tc>
          <w:tcPr>
            <w:shd w:val="clear" w:color="ffffff" w:fill="ffffff"/>
            <w:tcW w:w="1160" w:type="dxa"/>
            <w:vAlign w:val="center"/>
            <w:textDirection w:val="lrTb"/>
            <w:noWrap w:val="false"/>
          </w:tcPr>
          <w:p>
            <w:pPr>
              <w:pStyle w:val="801"/>
              <w:jc w:val="left"/>
              <w:keepLines w:val="0"/>
              <w:keepNext w:val="0"/>
              <w:pageBreakBefore w:val="0"/>
              <w:spacing w:line="23" w:lineRule="atLeast"/>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套箱吊耳钢筋</w:t>
            </w:r>
            <w:r>
              <w:rPr>
                <w:rFonts w:hint="eastAsia" w:ascii="宋体" w:hAnsi="宋体" w:eastAsia="宋体" w:cs="宋体"/>
                <w:i w:val="0"/>
                <w:iCs w:val="0"/>
                <w:color w:val="000000"/>
                <w:sz w:val="21"/>
                <w:szCs w:val="21"/>
                <w:highlight w:val="none"/>
                <w:u w:val="none"/>
                <w:lang w:val="en-US" w:eastAsia="zh-CN" w:bidi="ar"/>
              </w:rPr>
              <w:t xml:space="preserve">02</w:t>
            </w:r>
            <w:r>
              <w:rPr>
                <w:rFonts w:hint="eastAsia" w:ascii="宋体" w:hAnsi="宋体" w:eastAsia="宋体" w:cs="宋体"/>
                <w:i w:val="0"/>
                <w:iCs w:val="0"/>
                <w:color w:val="000000"/>
                <w:sz w:val="21"/>
                <w:szCs w:val="21"/>
                <w:highlight w:val="none"/>
                <w:u w:val="none"/>
              </w:rPr>
            </w:r>
            <w:r/>
          </w:p>
        </w:tc>
        <w:tc>
          <w:tcPr>
            <w:shd w:val="clear" w:color="ffffff" w:fill="ffffff"/>
            <w:tcW w:w="6120" w:type="dxa"/>
            <w:vAlign w:val="center"/>
            <w:textDirection w:val="lrTb"/>
            <w:noWrap w:val="false"/>
          </w:tcPr>
          <w:p>
            <w:pPr>
              <w:pStyle w:val="801"/>
              <w:jc w:val="left"/>
              <w:keepLines w:val="0"/>
              <w:keepNext w:val="0"/>
              <w:pageBreakBefore w:val="0"/>
              <w:spacing w:line="23" w:lineRule="atLeast"/>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1.钢筋种类：Φ32HPB300。</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2.施工部位：预制钢筋混凝土套箱吊耳钢筋。</w:t>
            </w:r>
            <w:r>
              <w:rPr>
                <w:rFonts w:hint="eastAsia" w:ascii="宋体" w:hAnsi="宋体" w:eastAsia="宋体" w:cs="宋体"/>
                <w:i w:val="0"/>
                <w:iCs w:val="0"/>
                <w:color w:val="000000"/>
                <w:sz w:val="21"/>
                <w:szCs w:val="21"/>
                <w:highlight w:val="none"/>
                <w:u w:val="none"/>
              </w:rPr>
            </w:r>
            <w:r/>
          </w:p>
        </w:tc>
        <w:tc>
          <w:tcPr>
            <w:shd w:val="clear" w:color="ffffff" w:fill="ffffff"/>
            <w:tcW w:w="549" w:type="dxa"/>
            <w:vAlign w:val="center"/>
            <w:textDirection w:val="lrTb"/>
            <w:noWrap w:val="false"/>
          </w:tcPr>
          <w:p>
            <w:pPr>
              <w:pStyle w:val="801"/>
              <w:jc w:val="center"/>
              <w:keepLines w:val="0"/>
              <w:keepNext w:val="0"/>
              <w:pageBreakBefore w:val="0"/>
              <w:spacing w:line="23" w:lineRule="atLeast"/>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t</w:t>
            </w:r>
            <w:r>
              <w:rPr>
                <w:rFonts w:hint="eastAsia" w:ascii="宋体" w:hAnsi="宋体" w:eastAsia="宋体" w:cs="宋体"/>
                <w:i w:val="0"/>
                <w:iCs w:val="0"/>
                <w:color w:val="000000"/>
                <w:sz w:val="21"/>
                <w:szCs w:val="21"/>
                <w:highlight w:val="none"/>
                <w:u w:val="none"/>
              </w:rPr>
            </w:r>
            <w:r/>
          </w:p>
        </w:tc>
        <w:tc>
          <w:tcPr>
            <w:shd w:val="clear" w:color="ffffff" w:fill="ffffff"/>
            <w:tcW w:w="840" w:type="dxa"/>
            <w:vAlign w:val="center"/>
            <w:textDirection w:val="lrTb"/>
            <w:noWrap w:val="false"/>
          </w:tcPr>
          <w:p>
            <w:pPr>
              <w:pStyle w:val="801"/>
              <w:jc w:val="right"/>
              <w:keepLines w:val="0"/>
              <w:keepNext w:val="0"/>
              <w:pageBreakBefore w:val="0"/>
              <w:spacing w:line="23" w:lineRule="atLeast"/>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3.44</w:t>
            </w:r>
            <w:r>
              <w:rPr>
                <w:rFonts w:hint="eastAsia" w:ascii="宋体" w:hAnsi="宋体" w:eastAsia="宋体" w:cs="宋体"/>
                <w:i w:val="0"/>
                <w:iCs w:val="0"/>
                <w:color w:val="000000"/>
                <w:sz w:val="21"/>
                <w:szCs w:val="21"/>
                <w:highlight w:val="none"/>
                <w:u w:val="none"/>
              </w:rPr>
            </w:r>
            <w:r/>
          </w:p>
        </w:tc>
      </w:tr>
      <w:tr>
        <w:trPr>
          <w:trHeight w:val="720"/>
        </w:trPr>
        <w:tc>
          <w:tcPr>
            <w:shd w:val="clear" w:color="ffffff" w:fill="ffffff"/>
            <w:tcW w:w="430" w:type="dxa"/>
            <w:vAlign w:val="center"/>
            <w:textDirection w:val="lrTb"/>
            <w:noWrap w:val="false"/>
          </w:tcPr>
          <w:p>
            <w:pPr>
              <w:pStyle w:val="801"/>
              <w:jc w:val="center"/>
              <w:keepLines w:val="0"/>
              <w:keepNext w:val="0"/>
              <w:pageBreakBefore w:val="0"/>
              <w:spacing w:line="23" w:lineRule="atLeast"/>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rPr>
                <w:rFonts w:hint="eastAsia" w:ascii="宋体" w:hAnsi="宋体" w:eastAsia="宋体" w:cs="宋体"/>
                <w:i w:val="0"/>
                <w:iCs w:val="0"/>
                <w:color w:val="000000"/>
                <w:sz w:val="21"/>
                <w:szCs w:val="21"/>
                <w:highlight w:val="none"/>
                <w:u w:val="none"/>
              </w:rPr>
            </w:r>
            <w:r/>
          </w:p>
        </w:tc>
        <w:tc>
          <w:tcPr>
            <w:shd w:val="clear" w:color="ffffff" w:fill="ffffff"/>
            <w:tcW w:w="1160" w:type="dxa"/>
            <w:vAlign w:val="center"/>
            <w:textDirection w:val="lrTb"/>
            <w:noWrap w:val="false"/>
          </w:tcPr>
          <w:p>
            <w:pPr>
              <w:pStyle w:val="801"/>
              <w:jc w:val="left"/>
              <w:keepLines w:val="0"/>
              <w:keepNext w:val="0"/>
              <w:pageBreakBefore w:val="0"/>
              <w:spacing w:line="23" w:lineRule="atLeast"/>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套箱吊耳预埋铁件制作、安装</w:t>
            </w:r>
            <w:r>
              <w:rPr>
                <w:rFonts w:hint="eastAsia" w:ascii="宋体" w:hAnsi="宋体" w:eastAsia="宋体" w:cs="宋体"/>
                <w:i w:val="0"/>
                <w:iCs w:val="0"/>
                <w:color w:val="000000"/>
                <w:sz w:val="21"/>
                <w:szCs w:val="21"/>
                <w:highlight w:val="none"/>
                <w:u w:val="none"/>
              </w:rPr>
            </w:r>
            <w:r/>
          </w:p>
        </w:tc>
        <w:tc>
          <w:tcPr>
            <w:shd w:val="clear" w:color="ffffff" w:fill="ffffff"/>
            <w:tcW w:w="6120" w:type="dxa"/>
            <w:vAlign w:val="center"/>
            <w:textDirection w:val="lrTb"/>
            <w:noWrap w:val="false"/>
          </w:tcPr>
          <w:p>
            <w:pPr>
              <w:pStyle w:val="801"/>
              <w:jc w:val="left"/>
              <w:keepLines w:val="0"/>
              <w:keepNext w:val="0"/>
              <w:pageBreakBefore w:val="0"/>
              <w:spacing w:line="23" w:lineRule="atLeast"/>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1.钢材种类:Q235B。</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2施工.部位：预制钢筋混凝土套箱吊耳预埋铁件制作、安装。</w:t>
            </w:r>
            <w:r>
              <w:rPr>
                <w:rFonts w:hint="eastAsia" w:ascii="宋体" w:hAnsi="宋体" w:eastAsia="宋体" w:cs="宋体"/>
                <w:i w:val="0"/>
                <w:iCs w:val="0"/>
                <w:color w:val="000000"/>
                <w:sz w:val="21"/>
                <w:szCs w:val="21"/>
                <w:highlight w:val="none"/>
                <w:u w:val="none"/>
              </w:rPr>
            </w:r>
            <w:r/>
          </w:p>
        </w:tc>
        <w:tc>
          <w:tcPr>
            <w:shd w:val="clear" w:color="ffffff" w:fill="ffffff"/>
            <w:tcW w:w="549" w:type="dxa"/>
            <w:vAlign w:val="center"/>
            <w:textDirection w:val="lrTb"/>
            <w:noWrap w:val="false"/>
          </w:tcPr>
          <w:p>
            <w:pPr>
              <w:pStyle w:val="801"/>
              <w:jc w:val="center"/>
              <w:keepLines w:val="0"/>
              <w:keepNext w:val="0"/>
              <w:pageBreakBefore w:val="0"/>
              <w:spacing w:line="23" w:lineRule="atLeast"/>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t</w:t>
            </w:r>
            <w:r>
              <w:rPr>
                <w:rFonts w:hint="eastAsia" w:ascii="宋体" w:hAnsi="宋体" w:eastAsia="宋体" w:cs="宋体"/>
                <w:i w:val="0"/>
                <w:iCs w:val="0"/>
                <w:color w:val="000000"/>
                <w:sz w:val="21"/>
                <w:szCs w:val="21"/>
                <w:highlight w:val="none"/>
                <w:u w:val="none"/>
              </w:rPr>
            </w:r>
            <w:r/>
          </w:p>
        </w:tc>
        <w:tc>
          <w:tcPr>
            <w:shd w:val="clear" w:color="ffffff" w:fill="ffffff"/>
            <w:tcW w:w="840" w:type="dxa"/>
            <w:vAlign w:val="center"/>
            <w:textDirection w:val="lrTb"/>
            <w:noWrap w:val="false"/>
          </w:tcPr>
          <w:p>
            <w:pPr>
              <w:pStyle w:val="801"/>
              <w:jc w:val="right"/>
              <w:keepLines w:val="0"/>
              <w:keepNext w:val="0"/>
              <w:pageBreakBefore w:val="0"/>
              <w:spacing w:line="23" w:lineRule="atLeast"/>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7.27</w:t>
            </w:r>
            <w:r>
              <w:rPr>
                <w:rFonts w:hint="eastAsia" w:ascii="宋体" w:hAnsi="宋体" w:eastAsia="宋体" w:cs="宋体"/>
                <w:i w:val="0"/>
                <w:iCs w:val="0"/>
                <w:color w:val="000000"/>
                <w:sz w:val="21"/>
                <w:szCs w:val="21"/>
                <w:highlight w:val="none"/>
                <w:u w:val="none"/>
              </w:rPr>
            </w:r>
            <w:r/>
          </w:p>
        </w:tc>
      </w:tr>
      <w:tr>
        <w:trPr>
          <w:trHeight w:val="1286"/>
        </w:trPr>
        <w:tc>
          <w:tcPr>
            <w:shd w:val="clear" w:color="ffffff" w:fill="ffffff"/>
            <w:tcW w:w="430" w:type="dxa"/>
            <w:vAlign w:val="center"/>
            <w:textDirection w:val="lrTb"/>
            <w:noWrap w:val="false"/>
          </w:tcPr>
          <w:p>
            <w:pPr>
              <w:pStyle w:val="801"/>
              <w:jc w:val="center"/>
              <w:keepLines w:val="0"/>
              <w:keepNext w:val="0"/>
              <w:pageBreakBefore w:val="0"/>
              <w:spacing w:line="23" w:lineRule="atLeast"/>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w:t>
            </w:r>
            <w:r>
              <w:rPr>
                <w:rFonts w:hint="eastAsia" w:ascii="宋体" w:hAnsi="宋体" w:eastAsia="宋体" w:cs="宋体"/>
                <w:i w:val="0"/>
                <w:iCs w:val="0"/>
                <w:color w:val="000000"/>
                <w:sz w:val="21"/>
                <w:szCs w:val="21"/>
                <w:highlight w:val="none"/>
                <w:u w:val="none"/>
              </w:rPr>
            </w:r>
            <w:r/>
          </w:p>
        </w:tc>
        <w:tc>
          <w:tcPr>
            <w:shd w:val="clear" w:color="ffffff" w:fill="ffffff"/>
            <w:tcW w:w="1160" w:type="dxa"/>
            <w:vAlign w:val="center"/>
            <w:textDirection w:val="lrTb"/>
            <w:noWrap w:val="false"/>
          </w:tcPr>
          <w:p>
            <w:pPr>
              <w:pStyle w:val="801"/>
              <w:jc w:val="left"/>
              <w:keepLines w:val="0"/>
              <w:keepNext w:val="0"/>
              <w:pageBreakBefore w:val="0"/>
              <w:spacing w:line="23" w:lineRule="atLeast"/>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套箱预制场地</w:t>
            </w:r>
            <w:r>
              <w:rPr>
                <w:rFonts w:hint="eastAsia" w:ascii="宋体" w:hAnsi="宋体" w:eastAsia="宋体" w:cs="宋体"/>
                <w:i w:val="0"/>
                <w:iCs w:val="0"/>
                <w:color w:val="000000"/>
                <w:sz w:val="21"/>
                <w:szCs w:val="21"/>
                <w:highlight w:val="none"/>
                <w:u w:val="none"/>
              </w:rPr>
            </w:r>
            <w:r/>
          </w:p>
        </w:tc>
        <w:tc>
          <w:tcPr>
            <w:shd w:val="clear" w:color="ffffff" w:fill="ffffff"/>
            <w:tcW w:w="6120" w:type="dxa"/>
            <w:vAlign w:val="center"/>
            <w:textDirection w:val="lrTb"/>
            <w:noWrap w:val="false"/>
          </w:tcPr>
          <w:p>
            <w:pPr>
              <w:pStyle w:val="801"/>
              <w:jc w:val="left"/>
              <w:keepLines w:val="0"/>
              <w:keepNext w:val="0"/>
              <w:pageBreakBefore w:val="0"/>
              <w:spacing w:line="23" w:lineRule="atLeast"/>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1.项目内容:套箱预制场地的租赁、搭设、拆除、恢复等工作。</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2.其他说明:投标人应自行勘察现场，报价时充分考虑现场施工条件等各种不利因素和预制场地的租赁、搭设、拆除、恢复等所有，竣工结算不调整清单报价。</w:t>
            </w:r>
            <w:r>
              <w:rPr>
                <w:rFonts w:hint="eastAsia" w:ascii="宋体" w:hAnsi="宋体" w:eastAsia="宋体" w:cs="宋体"/>
                <w:i w:val="0"/>
                <w:iCs w:val="0"/>
                <w:color w:val="000000"/>
                <w:sz w:val="21"/>
                <w:szCs w:val="21"/>
                <w:highlight w:val="none"/>
                <w:u w:val="none"/>
              </w:rPr>
            </w:r>
            <w:r/>
          </w:p>
        </w:tc>
        <w:tc>
          <w:tcPr>
            <w:shd w:val="clear" w:color="ffffff" w:fill="ffffff"/>
            <w:tcW w:w="549" w:type="dxa"/>
            <w:vAlign w:val="center"/>
            <w:textDirection w:val="lrTb"/>
            <w:noWrap w:val="false"/>
          </w:tcPr>
          <w:p>
            <w:pPr>
              <w:pStyle w:val="801"/>
              <w:jc w:val="center"/>
              <w:keepLines w:val="0"/>
              <w:keepNext w:val="0"/>
              <w:pageBreakBefore w:val="0"/>
              <w:spacing w:line="23" w:lineRule="atLeast"/>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rPr>
                <w:rFonts w:hint="eastAsia" w:ascii="宋体" w:hAnsi="宋体" w:eastAsia="宋体" w:cs="宋体"/>
                <w:i w:val="0"/>
                <w:iCs w:val="0"/>
                <w:color w:val="000000"/>
                <w:sz w:val="21"/>
                <w:szCs w:val="21"/>
                <w:highlight w:val="none"/>
                <w:u w:val="none"/>
              </w:rPr>
            </w:r>
            <w:r/>
          </w:p>
        </w:tc>
        <w:tc>
          <w:tcPr>
            <w:shd w:val="clear" w:color="ffffff" w:fill="ffffff"/>
            <w:tcW w:w="840" w:type="dxa"/>
            <w:vAlign w:val="center"/>
            <w:textDirection w:val="lrTb"/>
            <w:noWrap w:val="false"/>
          </w:tcPr>
          <w:p>
            <w:pPr>
              <w:pStyle w:val="801"/>
              <w:jc w:val="right"/>
              <w:keepLines w:val="0"/>
              <w:keepNext w:val="0"/>
              <w:pageBreakBefore w:val="0"/>
              <w:spacing w:line="23" w:lineRule="atLeast"/>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r>
      <w:tr>
        <w:trPr>
          <w:trHeight w:val="2110"/>
        </w:trPr>
        <w:tc>
          <w:tcPr>
            <w:shd w:val="clear" w:color="ffffff" w:fill="ffffff"/>
            <w:tcW w:w="430" w:type="dxa"/>
            <w:vAlign w:val="center"/>
            <w:textDirection w:val="lrTb"/>
            <w:noWrap w:val="false"/>
          </w:tcPr>
          <w:p>
            <w:pPr>
              <w:pStyle w:val="801"/>
              <w:jc w:val="center"/>
              <w:keepLines w:val="0"/>
              <w:keepNext w:val="0"/>
              <w:pageBreakBefore w:val="0"/>
              <w:spacing w:line="23" w:lineRule="atLeast"/>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w:t>
            </w:r>
            <w:r>
              <w:rPr>
                <w:rFonts w:hint="eastAsia" w:ascii="宋体" w:hAnsi="宋体" w:eastAsia="宋体" w:cs="宋体"/>
                <w:i w:val="0"/>
                <w:iCs w:val="0"/>
                <w:color w:val="000000"/>
                <w:sz w:val="21"/>
                <w:szCs w:val="21"/>
                <w:highlight w:val="none"/>
                <w:u w:val="none"/>
              </w:rPr>
            </w:r>
            <w:r/>
          </w:p>
        </w:tc>
        <w:tc>
          <w:tcPr>
            <w:shd w:val="clear" w:color="ffffff" w:fill="ffffff"/>
            <w:tcW w:w="1160" w:type="dxa"/>
            <w:vAlign w:val="center"/>
            <w:textDirection w:val="lrTb"/>
            <w:noWrap w:val="false"/>
          </w:tcPr>
          <w:p>
            <w:pPr>
              <w:pStyle w:val="801"/>
              <w:jc w:val="left"/>
              <w:keepLines w:val="0"/>
              <w:keepNext w:val="0"/>
              <w:pageBreakBefore w:val="0"/>
              <w:spacing w:line="23" w:lineRule="atLeast"/>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钢筋混凝土隔板</w:t>
            </w:r>
            <w:r>
              <w:rPr>
                <w:rFonts w:hint="eastAsia" w:ascii="宋体" w:hAnsi="宋体" w:eastAsia="宋体" w:cs="宋体"/>
                <w:i w:val="0"/>
                <w:iCs w:val="0"/>
                <w:color w:val="000000"/>
                <w:sz w:val="21"/>
                <w:szCs w:val="21"/>
                <w:highlight w:val="none"/>
                <w:u w:val="none"/>
              </w:rPr>
            </w:r>
            <w:r/>
          </w:p>
        </w:tc>
        <w:tc>
          <w:tcPr>
            <w:shd w:val="clear" w:color="ffffff" w:fill="ffffff"/>
            <w:tcW w:w="6120" w:type="dxa"/>
            <w:vAlign w:val="center"/>
            <w:textDirection w:val="lrTb"/>
            <w:noWrap w:val="false"/>
          </w:tcPr>
          <w:p>
            <w:pPr>
              <w:pStyle w:val="801"/>
              <w:jc w:val="left"/>
              <w:keepLines w:val="0"/>
              <w:keepNext w:val="0"/>
              <w:pageBreakBefore w:val="0"/>
              <w:spacing w:line="23" w:lineRule="atLeast"/>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1.混凝土种类及强度:C30商品砼。</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2.项目内容:钢筋混凝土隔板制安</w:t>
            </w:r>
            <w:r>
              <w:rPr>
                <w:rFonts w:hint="eastAsia" w:ascii="宋体" w:hAnsi="宋体" w:eastAsia="宋体" w:cs="宋体"/>
                <w:i w:val="0"/>
                <w:iCs w:val="0"/>
                <w:color w:val="000000"/>
                <w:sz w:val="21"/>
                <w:szCs w:val="21"/>
                <w:highlight w:val="none"/>
                <w:u w:val="none"/>
                <w:lang w:val="en-US" w:eastAsia="zh-CN" w:bidi="ar"/>
              </w:rPr>
              <w:t xml:space="preserve">，具体明细尺寸等详见设计图纸。</w:t>
            </w: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其他说明:⑴投标人应自行勘察现场，报价时充分考虑现场施工条件等各种不利因素及预制场地的租赁、搭设、拆除、恢复和所有模板支护拆除等各项措施费用、预制隔板的运输、吊装、安装费用等。⑵报价中还应重复考虑设计及施工验收规范（如有）要求的商品砼外加剂（如抗渗、抗裂等）费用。⑶竣工结算不调整清单报价。</w:t>
            </w:r>
            <w:r>
              <w:rPr>
                <w:rFonts w:hint="eastAsia" w:ascii="宋体" w:hAnsi="宋体" w:eastAsia="宋体" w:cs="宋体"/>
                <w:i w:val="0"/>
                <w:iCs w:val="0"/>
                <w:color w:val="000000"/>
                <w:sz w:val="21"/>
                <w:szCs w:val="21"/>
                <w:highlight w:val="none"/>
                <w:u w:val="none"/>
              </w:rPr>
            </w:r>
            <w:r/>
          </w:p>
        </w:tc>
        <w:tc>
          <w:tcPr>
            <w:shd w:val="clear" w:color="ffffff" w:fill="ffffff"/>
            <w:tcW w:w="549" w:type="dxa"/>
            <w:vAlign w:val="center"/>
            <w:textDirection w:val="lrTb"/>
            <w:noWrap w:val="false"/>
          </w:tcPr>
          <w:p>
            <w:pPr>
              <w:pStyle w:val="801"/>
              <w:jc w:val="center"/>
              <w:keepLines w:val="0"/>
              <w:keepNext w:val="0"/>
              <w:pageBreakBefore w:val="0"/>
              <w:spacing w:line="23" w:lineRule="atLeast"/>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件</w:t>
            </w:r>
            <w:r>
              <w:rPr>
                <w:rFonts w:hint="eastAsia" w:ascii="宋体" w:hAnsi="宋体" w:eastAsia="宋体" w:cs="宋体"/>
                <w:i w:val="0"/>
                <w:iCs w:val="0"/>
                <w:color w:val="000000"/>
                <w:sz w:val="21"/>
                <w:szCs w:val="21"/>
                <w:highlight w:val="none"/>
                <w:u w:val="none"/>
              </w:rPr>
            </w:r>
            <w:r/>
          </w:p>
        </w:tc>
        <w:tc>
          <w:tcPr>
            <w:shd w:val="clear" w:color="ffffff" w:fill="ffffff"/>
            <w:tcW w:w="840" w:type="dxa"/>
            <w:vAlign w:val="center"/>
            <w:textDirection w:val="lrTb"/>
            <w:noWrap w:val="false"/>
          </w:tcPr>
          <w:p>
            <w:pPr>
              <w:pStyle w:val="801"/>
              <w:jc w:val="right"/>
              <w:keepLines w:val="0"/>
              <w:keepNext w:val="0"/>
              <w:pageBreakBefore w:val="0"/>
              <w:spacing w:line="23" w:lineRule="atLeast"/>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rPr>
                <w:rFonts w:hint="eastAsia" w:ascii="宋体" w:hAnsi="宋体" w:eastAsia="宋体" w:cs="宋体"/>
                <w:i w:val="0"/>
                <w:iCs w:val="0"/>
                <w:color w:val="000000"/>
                <w:sz w:val="21"/>
                <w:szCs w:val="21"/>
                <w:highlight w:val="none"/>
                <w:u w:val="none"/>
              </w:rPr>
            </w:r>
            <w:r/>
          </w:p>
        </w:tc>
      </w:tr>
      <w:tr>
        <w:trPr>
          <w:trHeight w:val="480"/>
        </w:trPr>
        <w:tc>
          <w:tcPr>
            <w:shd w:val="clear" w:color="ffffff" w:fill="ffffff"/>
            <w:tcW w:w="430" w:type="dxa"/>
            <w:vAlign w:val="center"/>
            <w:textDirection w:val="lrTb"/>
            <w:noWrap w:val="false"/>
          </w:tcPr>
          <w:p>
            <w:pPr>
              <w:pStyle w:val="801"/>
              <w:jc w:val="center"/>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rPr>
                <w:rFonts w:hint="eastAsia" w:ascii="宋体" w:hAnsi="宋体" w:eastAsia="宋体" w:cs="宋体"/>
                <w:i w:val="0"/>
                <w:iCs w:val="0"/>
                <w:color w:val="000000"/>
                <w:sz w:val="21"/>
                <w:szCs w:val="21"/>
                <w:highlight w:val="none"/>
                <w:u w:val="none"/>
              </w:rPr>
            </w:r>
            <w:r/>
          </w:p>
        </w:tc>
        <w:tc>
          <w:tcPr>
            <w:shd w:val="clear" w:color="ffffff" w:fill="ffffff"/>
            <w:tcW w:w="1160" w:type="dxa"/>
            <w:vAlign w:val="center"/>
            <w:textDirection w:val="lrTb"/>
            <w:noWrap w:val="false"/>
          </w:tcPr>
          <w:p>
            <w:pPr>
              <w:pStyle w:val="801"/>
              <w:jc w:val="left"/>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隔板含吊耳钢筋</w:t>
            </w:r>
            <w:r>
              <w:rPr>
                <w:rFonts w:hint="eastAsia" w:ascii="宋体" w:hAnsi="宋体" w:eastAsia="宋体" w:cs="宋体"/>
                <w:i w:val="0"/>
                <w:iCs w:val="0"/>
                <w:color w:val="000000"/>
                <w:sz w:val="21"/>
                <w:szCs w:val="21"/>
                <w:highlight w:val="none"/>
                <w:u w:val="none"/>
                <w:lang w:val="en-US" w:eastAsia="zh-CN" w:bidi="ar"/>
              </w:rPr>
              <w:t xml:space="preserve">01</w:t>
            </w:r>
            <w:r>
              <w:rPr>
                <w:rFonts w:hint="eastAsia" w:ascii="宋体" w:hAnsi="宋体" w:eastAsia="宋体" w:cs="宋体"/>
                <w:i w:val="0"/>
                <w:iCs w:val="0"/>
                <w:color w:val="000000"/>
                <w:sz w:val="21"/>
                <w:szCs w:val="21"/>
                <w:highlight w:val="none"/>
                <w:u w:val="none"/>
              </w:rPr>
            </w:r>
            <w:r/>
          </w:p>
        </w:tc>
        <w:tc>
          <w:tcPr>
            <w:shd w:val="clear" w:color="ffffff" w:fill="ffffff"/>
            <w:tcW w:w="6120" w:type="dxa"/>
            <w:vAlign w:val="center"/>
            <w:textDirection w:val="lrTb"/>
            <w:noWrap w:val="false"/>
          </w:tcPr>
          <w:p>
            <w:pPr>
              <w:pStyle w:val="801"/>
              <w:jc w:val="left"/>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1.钢筋种类：22HRB400。</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2.施工部位：钢筋混凝土隔板含吊耳钢筋。</w:t>
            </w:r>
            <w:r>
              <w:rPr>
                <w:rFonts w:hint="eastAsia" w:ascii="宋体" w:hAnsi="宋体" w:eastAsia="宋体" w:cs="宋体"/>
                <w:i w:val="0"/>
                <w:iCs w:val="0"/>
                <w:color w:val="000000"/>
                <w:sz w:val="21"/>
                <w:szCs w:val="21"/>
                <w:highlight w:val="none"/>
                <w:u w:val="none"/>
              </w:rPr>
            </w:r>
            <w:r/>
          </w:p>
        </w:tc>
        <w:tc>
          <w:tcPr>
            <w:shd w:val="clear" w:color="ffffff" w:fill="ffffff"/>
            <w:tcW w:w="549" w:type="dxa"/>
            <w:vAlign w:val="center"/>
            <w:textDirection w:val="lrTb"/>
            <w:noWrap w:val="false"/>
          </w:tcPr>
          <w:p>
            <w:pPr>
              <w:pStyle w:val="801"/>
              <w:jc w:val="center"/>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t</w:t>
            </w:r>
            <w:r>
              <w:rPr>
                <w:rFonts w:hint="eastAsia" w:ascii="宋体" w:hAnsi="宋体" w:eastAsia="宋体" w:cs="宋体"/>
                <w:i w:val="0"/>
                <w:iCs w:val="0"/>
                <w:color w:val="000000"/>
                <w:sz w:val="21"/>
                <w:szCs w:val="21"/>
                <w:highlight w:val="none"/>
                <w:u w:val="none"/>
              </w:rPr>
            </w:r>
            <w:r/>
          </w:p>
        </w:tc>
        <w:tc>
          <w:tcPr>
            <w:shd w:val="clear" w:color="ffffff" w:fill="ffffff"/>
            <w:tcW w:w="840" w:type="dxa"/>
            <w:vAlign w:val="center"/>
            <w:textDirection w:val="lrTb"/>
            <w:noWrap w:val="false"/>
          </w:tcPr>
          <w:p>
            <w:pPr>
              <w:pStyle w:val="801"/>
              <w:jc w:val="right"/>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28.15</w:t>
            </w:r>
            <w:r>
              <w:rPr>
                <w:rFonts w:hint="eastAsia" w:ascii="宋体" w:hAnsi="宋体" w:eastAsia="宋体" w:cs="宋体"/>
                <w:i w:val="0"/>
                <w:iCs w:val="0"/>
                <w:color w:val="000000"/>
                <w:sz w:val="21"/>
                <w:szCs w:val="21"/>
                <w:highlight w:val="none"/>
                <w:u w:val="none"/>
              </w:rPr>
            </w:r>
            <w:r/>
          </w:p>
        </w:tc>
      </w:tr>
      <w:tr>
        <w:trPr>
          <w:trHeight w:val="816"/>
        </w:trPr>
        <w:tc>
          <w:tcPr>
            <w:shd w:val="clear" w:color="ffffff" w:fill="ffffff"/>
            <w:tcW w:w="430" w:type="dxa"/>
            <w:vAlign w:val="center"/>
            <w:textDirection w:val="lrTb"/>
            <w:noWrap w:val="false"/>
          </w:tcPr>
          <w:p>
            <w:pPr>
              <w:pStyle w:val="801"/>
              <w:jc w:val="center"/>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w:t>
            </w:r>
            <w:r>
              <w:rPr>
                <w:rFonts w:hint="eastAsia" w:ascii="宋体" w:hAnsi="宋体" w:eastAsia="宋体" w:cs="宋体"/>
                <w:i w:val="0"/>
                <w:iCs w:val="0"/>
                <w:color w:val="000000"/>
                <w:sz w:val="21"/>
                <w:szCs w:val="21"/>
                <w:highlight w:val="none"/>
                <w:u w:val="none"/>
              </w:rPr>
            </w:r>
            <w:r/>
          </w:p>
        </w:tc>
        <w:tc>
          <w:tcPr>
            <w:shd w:val="clear" w:color="ffffff" w:fill="ffffff"/>
            <w:tcW w:w="1160" w:type="dxa"/>
            <w:vAlign w:val="center"/>
            <w:textDirection w:val="lrTb"/>
            <w:noWrap w:val="false"/>
          </w:tcPr>
          <w:p>
            <w:pPr>
              <w:pStyle w:val="801"/>
              <w:jc w:val="left"/>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隔板吊耳钢筋</w:t>
            </w:r>
            <w:r>
              <w:rPr>
                <w:rFonts w:hint="eastAsia" w:ascii="宋体" w:hAnsi="宋体" w:eastAsia="宋体" w:cs="宋体"/>
                <w:i w:val="0"/>
                <w:iCs w:val="0"/>
                <w:color w:val="000000"/>
                <w:sz w:val="21"/>
                <w:szCs w:val="21"/>
                <w:highlight w:val="none"/>
                <w:u w:val="none"/>
                <w:lang w:val="en-US" w:eastAsia="zh-CN" w:bidi="ar"/>
              </w:rPr>
              <w:t xml:space="preserve">02</w:t>
            </w:r>
            <w:r>
              <w:rPr>
                <w:rFonts w:hint="eastAsia" w:ascii="宋体" w:hAnsi="宋体" w:eastAsia="宋体" w:cs="宋体"/>
                <w:i w:val="0"/>
                <w:iCs w:val="0"/>
                <w:color w:val="000000"/>
                <w:sz w:val="21"/>
                <w:szCs w:val="21"/>
                <w:highlight w:val="none"/>
                <w:u w:val="none"/>
              </w:rPr>
            </w:r>
            <w:r/>
          </w:p>
        </w:tc>
        <w:tc>
          <w:tcPr>
            <w:shd w:val="clear" w:color="ffffff" w:fill="ffffff"/>
            <w:tcW w:w="6120" w:type="dxa"/>
            <w:vAlign w:val="center"/>
            <w:textDirection w:val="lrTb"/>
            <w:noWrap w:val="false"/>
          </w:tcPr>
          <w:p>
            <w:pPr>
              <w:pStyle w:val="801"/>
              <w:jc w:val="left"/>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1.钢筋种类:HPB300</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2.部位：:钢筋混凝土隔板吊耳钢筋</w:t>
            </w:r>
            <w:r>
              <w:rPr>
                <w:rFonts w:hint="eastAsia" w:ascii="宋体" w:hAnsi="宋体" w:eastAsia="宋体" w:cs="宋体"/>
                <w:i w:val="0"/>
                <w:iCs w:val="0"/>
                <w:color w:val="000000"/>
                <w:sz w:val="21"/>
                <w:szCs w:val="21"/>
                <w:highlight w:val="none"/>
                <w:u w:val="none"/>
              </w:rPr>
            </w:r>
            <w:r/>
          </w:p>
        </w:tc>
        <w:tc>
          <w:tcPr>
            <w:shd w:val="clear" w:color="ffffff" w:fill="ffffff"/>
            <w:tcW w:w="549" w:type="dxa"/>
            <w:vAlign w:val="center"/>
            <w:textDirection w:val="lrTb"/>
            <w:noWrap w:val="false"/>
          </w:tcPr>
          <w:p>
            <w:pPr>
              <w:pStyle w:val="801"/>
              <w:jc w:val="center"/>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t</w:t>
            </w:r>
            <w:r>
              <w:rPr>
                <w:rFonts w:hint="eastAsia" w:ascii="宋体" w:hAnsi="宋体" w:eastAsia="宋体" w:cs="宋体"/>
                <w:i w:val="0"/>
                <w:iCs w:val="0"/>
                <w:color w:val="000000"/>
                <w:sz w:val="21"/>
                <w:szCs w:val="21"/>
                <w:highlight w:val="none"/>
                <w:u w:val="none"/>
              </w:rPr>
            </w:r>
            <w:r/>
          </w:p>
        </w:tc>
        <w:tc>
          <w:tcPr>
            <w:shd w:val="clear" w:color="ffffff" w:fill="ffffff"/>
            <w:tcW w:w="840" w:type="dxa"/>
            <w:vAlign w:val="center"/>
            <w:textDirection w:val="lrTb"/>
            <w:noWrap w:val="false"/>
          </w:tcPr>
          <w:p>
            <w:pPr>
              <w:pStyle w:val="801"/>
              <w:jc w:val="right"/>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0.85</w:t>
            </w:r>
            <w:r>
              <w:rPr>
                <w:rFonts w:hint="eastAsia" w:ascii="宋体" w:hAnsi="宋体" w:eastAsia="宋体" w:cs="宋体"/>
                <w:i w:val="0"/>
                <w:iCs w:val="0"/>
                <w:color w:val="000000"/>
                <w:sz w:val="21"/>
                <w:szCs w:val="21"/>
                <w:highlight w:val="none"/>
                <w:u w:val="none"/>
              </w:rPr>
            </w:r>
            <w:r/>
          </w:p>
        </w:tc>
      </w:tr>
      <w:tr>
        <w:trPr>
          <w:trHeight w:val="2186"/>
        </w:trPr>
        <w:tc>
          <w:tcPr>
            <w:shd w:val="clear" w:color="ffffff" w:fill="ffffff"/>
            <w:tcW w:w="430" w:type="dxa"/>
            <w:vAlign w:val="center"/>
            <w:textDirection w:val="lrTb"/>
            <w:noWrap w:val="false"/>
          </w:tcPr>
          <w:p>
            <w:pPr>
              <w:pStyle w:val="801"/>
              <w:jc w:val="center"/>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w:t>
            </w:r>
            <w:r>
              <w:rPr>
                <w:rFonts w:hint="eastAsia" w:ascii="宋体" w:hAnsi="宋体" w:eastAsia="宋体" w:cs="宋体"/>
                <w:i w:val="0"/>
                <w:iCs w:val="0"/>
                <w:color w:val="000000"/>
                <w:sz w:val="21"/>
                <w:szCs w:val="21"/>
                <w:highlight w:val="none"/>
                <w:u w:val="none"/>
              </w:rPr>
            </w:r>
            <w:r/>
          </w:p>
        </w:tc>
        <w:tc>
          <w:tcPr>
            <w:shd w:val="clear" w:color="ffffff" w:fill="ffffff"/>
            <w:tcW w:w="1160" w:type="dxa"/>
            <w:vAlign w:val="center"/>
            <w:textDirection w:val="lrTb"/>
            <w:noWrap w:val="false"/>
          </w:tcPr>
          <w:p>
            <w:pPr>
              <w:pStyle w:val="801"/>
              <w:jc w:val="left"/>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钢板护面</w:t>
            </w:r>
            <w:r>
              <w:rPr>
                <w:rFonts w:hint="eastAsia" w:ascii="宋体" w:hAnsi="宋体" w:eastAsia="宋体" w:cs="宋体"/>
                <w:i w:val="0"/>
                <w:iCs w:val="0"/>
                <w:color w:val="000000"/>
                <w:sz w:val="21"/>
                <w:szCs w:val="21"/>
                <w:highlight w:val="none"/>
                <w:u w:val="none"/>
              </w:rPr>
            </w:r>
            <w:r/>
          </w:p>
        </w:tc>
        <w:tc>
          <w:tcPr>
            <w:shd w:val="clear" w:color="ffffff" w:fill="ffffff"/>
            <w:tcW w:w="6120" w:type="dxa"/>
            <w:vAlign w:val="center"/>
            <w:textDirection w:val="lrTb"/>
            <w:noWrap w:val="false"/>
          </w:tcPr>
          <w:p>
            <w:pPr>
              <w:pStyle w:val="801"/>
              <w:jc w:val="left"/>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1.构件名称:钢板护面（含扁钢）制作安装。</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2.材质:Q235B。</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3.除锈:除锈等级Sa2.5.除锈方法喷砂除锈。</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4.涂装:底漆：环氧富锌漆75μm；中间漆：环氧云母氧化铁 200μm；面漆：改性耐磨环氧涂料 125μm；防腐漆膜总厚度≥400μm。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5.其他说明：具体做法详见图纸。</w:t>
            </w:r>
            <w:r>
              <w:rPr>
                <w:rFonts w:hint="eastAsia" w:ascii="宋体" w:hAnsi="宋体" w:eastAsia="宋体" w:cs="宋体"/>
                <w:i w:val="0"/>
                <w:iCs w:val="0"/>
                <w:color w:val="000000"/>
                <w:sz w:val="21"/>
                <w:szCs w:val="21"/>
                <w:highlight w:val="none"/>
                <w:u w:val="none"/>
              </w:rPr>
            </w:r>
            <w:r/>
          </w:p>
        </w:tc>
        <w:tc>
          <w:tcPr>
            <w:shd w:val="clear" w:color="ffffff" w:fill="ffffff"/>
            <w:tcW w:w="549" w:type="dxa"/>
            <w:vAlign w:val="center"/>
            <w:textDirection w:val="lrTb"/>
            <w:noWrap w:val="false"/>
          </w:tcPr>
          <w:p>
            <w:pPr>
              <w:pStyle w:val="801"/>
              <w:jc w:val="center"/>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t</w:t>
            </w:r>
            <w:r>
              <w:rPr>
                <w:rFonts w:hint="eastAsia" w:ascii="宋体" w:hAnsi="宋体" w:eastAsia="宋体" w:cs="宋体"/>
                <w:i w:val="0"/>
                <w:iCs w:val="0"/>
                <w:color w:val="000000"/>
                <w:sz w:val="21"/>
                <w:szCs w:val="21"/>
                <w:highlight w:val="none"/>
                <w:u w:val="none"/>
              </w:rPr>
            </w:r>
            <w:r/>
          </w:p>
        </w:tc>
        <w:tc>
          <w:tcPr>
            <w:shd w:val="clear" w:color="ffffff" w:fill="ffffff"/>
            <w:tcW w:w="840" w:type="dxa"/>
            <w:vAlign w:val="center"/>
            <w:textDirection w:val="lrTb"/>
            <w:noWrap w:val="false"/>
          </w:tcPr>
          <w:p>
            <w:pPr>
              <w:pStyle w:val="801"/>
              <w:jc w:val="right"/>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65.57</w:t>
            </w:r>
            <w:r>
              <w:rPr>
                <w:rFonts w:hint="eastAsia" w:ascii="宋体" w:hAnsi="宋体" w:eastAsia="宋体" w:cs="宋体"/>
                <w:i w:val="0"/>
                <w:iCs w:val="0"/>
                <w:color w:val="000000"/>
                <w:sz w:val="21"/>
                <w:szCs w:val="21"/>
                <w:highlight w:val="none"/>
                <w:u w:val="none"/>
              </w:rPr>
            </w:r>
            <w:r/>
          </w:p>
        </w:tc>
      </w:tr>
      <w:tr>
        <w:trPr>
          <w:trHeight w:val="699"/>
        </w:trPr>
        <w:tc>
          <w:tcPr>
            <w:shd w:val="clear" w:color="ffffff" w:fill="ffffff"/>
            <w:tcW w:w="430" w:type="dxa"/>
            <w:vAlign w:val="center"/>
            <w:textDirection w:val="lrTb"/>
            <w:noWrap w:val="false"/>
          </w:tcPr>
          <w:p>
            <w:pPr>
              <w:pStyle w:val="801"/>
              <w:jc w:val="center"/>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w:t>
            </w:r>
            <w:r>
              <w:rPr>
                <w:rFonts w:hint="eastAsia" w:ascii="宋体" w:hAnsi="宋体" w:eastAsia="宋体" w:cs="宋体"/>
                <w:i w:val="0"/>
                <w:iCs w:val="0"/>
                <w:color w:val="000000"/>
                <w:sz w:val="21"/>
                <w:szCs w:val="21"/>
                <w:highlight w:val="none"/>
                <w:u w:val="none"/>
              </w:rPr>
            </w:r>
            <w:r/>
          </w:p>
        </w:tc>
        <w:tc>
          <w:tcPr>
            <w:shd w:val="clear" w:color="ffffff" w:fill="ffffff"/>
            <w:tcW w:w="1160" w:type="dxa"/>
            <w:vAlign w:val="center"/>
            <w:textDirection w:val="lrTb"/>
            <w:noWrap w:val="false"/>
          </w:tcPr>
          <w:p>
            <w:pPr>
              <w:pStyle w:val="801"/>
              <w:jc w:val="left"/>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钢板护面锚筋</w:t>
            </w:r>
            <w:r>
              <w:rPr>
                <w:rFonts w:hint="eastAsia" w:ascii="宋体" w:hAnsi="宋体" w:eastAsia="宋体" w:cs="宋体"/>
                <w:i w:val="0"/>
                <w:iCs w:val="0"/>
                <w:color w:val="000000"/>
                <w:sz w:val="21"/>
                <w:szCs w:val="21"/>
                <w:highlight w:val="none"/>
                <w:u w:val="none"/>
              </w:rPr>
            </w:r>
            <w:r/>
          </w:p>
        </w:tc>
        <w:tc>
          <w:tcPr>
            <w:shd w:val="clear" w:color="ffffff" w:fill="ffffff"/>
            <w:tcW w:w="6120" w:type="dxa"/>
            <w:vAlign w:val="center"/>
            <w:textDirection w:val="lrTb"/>
            <w:noWrap w:val="false"/>
          </w:tcPr>
          <w:p>
            <w:pPr>
              <w:pStyle w:val="801"/>
              <w:jc w:val="left"/>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1.钢筋种类:HRB400。</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2.施工部位：钢板护面锚筋。</w:t>
            </w:r>
            <w:r>
              <w:rPr>
                <w:rFonts w:hint="eastAsia" w:ascii="宋体" w:hAnsi="宋体" w:eastAsia="宋体" w:cs="宋体"/>
                <w:i w:val="0"/>
                <w:iCs w:val="0"/>
                <w:color w:val="000000"/>
                <w:sz w:val="21"/>
                <w:szCs w:val="21"/>
                <w:highlight w:val="none"/>
                <w:u w:val="none"/>
              </w:rPr>
            </w:r>
            <w:r/>
          </w:p>
        </w:tc>
        <w:tc>
          <w:tcPr>
            <w:shd w:val="clear" w:color="ffffff" w:fill="ffffff"/>
            <w:tcW w:w="549" w:type="dxa"/>
            <w:vAlign w:val="center"/>
            <w:textDirection w:val="lrTb"/>
            <w:noWrap w:val="false"/>
          </w:tcPr>
          <w:p>
            <w:pPr>
              <w:pStyle w:val="801"/>
              <w:jc w:val="center"/>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t</w:t>
            </w:r>
            <w:r>
              <w:rPr>
                <w:rFonts w:hint="eastAsia" w:ascii="宋体" w:hAnsi="宋体" w:eastAsia="宋体" w:cs="宋体"/>
                <w:i w:val="0"/>
                <w:iCs w:val="0"/>
                <w:color w:val="000000"/>
                <w:sz w:val="21"/>
                <w:szCs w:val="21"/>
                <w:highlight w:val="none"/>
                <w:u w:val="none"/>
              </w:rPr>
            </w:r>
            <w:r/>
          </w:p>
        </w:tc>
        <w:tc>
          <w:tcPr>
            <w:shd w:val="clear" w:color="ffffff" w:fill="ffffff"/>
            <w:tcW w:w="840" w:type="dxa"/>
            <w:vAlign w:val="center"/>
            <w:textDirection w:val="lrTb"/>
            <w:noWrap w:val="false"/>
          </w:tcPr>
          <w:p>
            <w:pPr>
              <w:pStyle w:val="801"/>
              <w:jc w:val="right"/>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3.07</w:t>
            </w:r>
            <w:r>
              <w:rPr>
                <w:rFonts w:hint="eastAsia" w:ascii="宋体" w:hAnsi="宋体" w:eastAsia="宋体" w:cs="宋体"/>
                <w:i w:val="0"/>
                <w:iCs w:val="0"/>
                <w:color w:val="000000"/>
                <w:sz w:val="21"/>
                <w:szCs w:val="21"/>
                <w:highlight w:val="none"/>
                <w:u w:val="none"/>
              </w:rPr>
            </w:r>
            <w:r/>
          </w:p>
        </w:tc>
      </w:tr>
      <w:tr>
        <w:trPr>
          <w:trHeight w:val="1927"/>
        </w:trPr>
        <w:tc>
          <w:tcPr>
            <w:shd w:val="clear" w:color="ffffff" w:fill="ffffff"/>
            <w:tcW w:w="430" w:type="dxa"/>
            <w:vAlign w:val="center"/>
            <w:textDirection w:val="lrTb"/>
            <w:noWrap w:val="false"/>
          </w:tcPr>
          <w:p>
            <w:pPr>
              <w:pStyle w:val="801"/>
              <w:jc w:val="center"/>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w:t>
            </w:r>
            <w:r>
              <w:rPr>
                <w:rFonts w:hint="eastAsia" w:ascii="宋体" w:hAnsi="宋体" w:eastAsia="宋体" w:cs="宋体"/>
                <w:i w:val="0"/>
                <w:iCs w:val="0"/>
                <w:color w:val="000000"/>
                <w:sz w:val="21"/>
                <w:szCs w:val="21"/>
                <w:highlight w:val="none"/>
                <w:u w:val="none"/>
              </w:rPr>
            </w:r>
            <w:r/>
          </w:p>
        </w:tc>
        <w:tc>
          <w:tcPr>
            <w:shd w:val="clear" w:color="ffffff" w:fill="ffffff"/>
            <w:tcW w:w="1160" w:type="dxa"/>
            <w:vAlign w:val="center"/>
            <w:textDirection w:val="lrTb"/>
            <w:noWrap w:val="false"/>
          </w:tcPr>
          <w:p>
            <w:pPr>
              <w:pStyle w:val="801"/>
              <w:jc w:val="left"/>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新建系船柱</w:t>
            </w:r>
            <w:r>
              <w:rPr>
                <w:rFonts w:hint="eastAsia" w:ascii="宋体" w:hAnsi="宋体" w:eastAsia="宋体" w:cs="宋体"/>
                <w:i w:val="0"/>
                <w:iCs w:val="0"/>
                <w:color w:val="000000"/>
                <w:sz w:val="21"/>
                <w:szCs w:val="21"/>
                <w:highlight w:val="none"/>
                <w:u w:val="none"/>
                <w:lang w:val="en-US" w:eastAsia="zh-CN" w:bidi="ar"/>
              </w:rPr>
              <w:t xml:space="preserve">01</w:t>
            </w:r>
            <w:r>
              <w:rPr>
                <w:rFonts w:hint="eastAsia" w:ascii="宋体" w:hAnsi="宋体" w:eastAsia="宋体" w:cs="宋体"/>
                <w:i w:val="0"/>
                <w:iCs w:val="0"/>
                <w:color w:val="000000"/>
                <w:sz w:val="21"/>
                <w:szCs w:val="21"/>
                <w:highlight w:val="none"/>
                <w:u w:val="none"/>
              </w:rPr>
            </w:r>
            <w:r/>
          </w:p>
        </w:tc>
        <w:tc>
          <w:tcPr>
            <w:shd w:val="clear" w:color="ffffff" w:fill="ffffff"/>
            <w:tcW w:w="6120" w:type="dxa"/>
            <w:vAlign w:val="center"/>
            <w:textDirection w:val="lrTb"/>
            <w:noWrap w:val="false"/>
          </w:tcPr>
          <w:p>
            <w:pPr>
              <w:pStyle w:val="801"/>
              <w:jc w:val="left"/>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1.项目内容:新建系船柱，250kN。</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2.壳体材质规格:铸铁HT200，Q235B。</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3.螺栓固定要求:螺栓固定孔内沥青砂填塞。</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4.灌浆:系船柱安装完毕后，壳内灌注C30砼。</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5.除锈及涂装:系船柱壳体均涂红丹和防锈漆二度，柱头颜色用红白漆间涂。</w:t>
            </w:r>
            <w:r>
              <w:rPr>
                <w:rFonts w:hint="eastAsia" w:ascii="宋体" w:hAnsi="宋体" w:eastAsia="宋体" w:cs="宋体"/>
                <w:i w:val="0"/>
                <w:iCs w:val="0"/>
                <w:color w:val="000000"/>
                <w:sz w:val="21"/>
                <w:szCs w:val="21"/>
                <w:highlight w:val="none"/>
                <w:u w:val="none"/>
              </w:rPr>
            </w:r>
            <w:r/>
          </w:p>
        </w:tc>
        <w:tc>
          <w:tcPr>
            <w:shd w:val="clear" w:color="ffffff" w:fill="ffffff"/>
            <w:tcW w:w="549" w:type="dxa"/>
            <w:vAlign w:val="center"/>
            <w:textDirection w:val="lrTb"/>
            <w:noWrap w:val="false"/>
          </w:tcPr>
          <w:p>
            <w:pPr>
              <w:pStyle w:val="801"/>
              <w:jc w:val="center"/>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rPr>
            </w:r>
            <w:r/>
          </w:p>
        </w:tc>
        <w:tc>
          <w:tcPr>
            <w:shd w:val="clear" w:color="ffffff" w:fill="ffffff"/>
            <w:tcW w:w="840" w:type="dxa"/>
            <w:vAlign w:val="center"/>
            <w:textDirection w:val="lrTb"/>
            <w:noWrap w:val="false"/>
          </w:tcPr>
          <w:p>
            <w:pPr>
              <w:pStyle w:val="801"/>
              <w:jc w:val="right"/>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rPr>
                <w:rFonts w:hint="eastAsia" w:ascii="宋体" w:hAnsi="宋体" w:eastAsia="宋体" w:cs="宋体"/>
                <w:i w:val="0"/>
                <w:iCs w:val="0"/>
                <w:color w:val="000000"/>
                <w:sz w:val="21"/>
                <w:szCs w:val="21"/>
                <w:highlight w:val="none"/>
                <w:u w:val="none"/>
              </w:rPr>
            </w:r>
            <w:r/>
          </w:p>
        </w:tc>
      </w:tr>
      <w:tr>
        <w:trPr>
          <w:trHeight w:val="2200"/>
        </w:trPr>
        <w:tc>
          <w:tcPr>
            <w:shd w:val="clear" w:color="ffffff" w:fill="ffffff"/>
            <w:tcW w:w="430" w:type="dxa"/>
            <w:vAlign w:val="center"/>
            <w:textDirection w:val="lrTb"/>
            <w:noWrap w:val="false"/>
          </w:tcPr>
          <w:p>
            <w:pPr>
              <w:pStyle w:val="801"/>
              <w:jc w:val="center"/>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rPr>
                <w:rFonts w:hint="eastAsia" w:ascii="宋体" w:hAnsi="宋体" w:eastAsia="宋体" w:cs="宋体"/>
                <w:i w:val="0"/>
                <w:iCs w:val="0"/>
                <w:color w:val="000000"/>
                <w:sz w:val="21"/>
                <w:szCs w:val="21"/>
                <w:highlight w:val="none"/>
                <w:u w:val="none"/>
              </w:rPr>
            </w:r>
            <w:r/>
          </w:p>
        </w:tc>
        <w:tc>
          <w:tcPr>
            <w:shd w:val="clear" w:color="ffffff" w:fill="ffffff"/>
            <w:tcW w:w="1160" w:type="dxa"/>
            <w:vAlign w:val="center"/>
            <w:textDirection w:val="lrTb"/>
            <w:noWrap w:val="false"/>
          </w:tcPr>
          <w:p>
            <w:pPr>
              <w:pStyle w:val="801"/>
              <w:jc w:val="left"/>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新建系船钩</w:t>
            </w:r>
            <w:r>
              <w:rPr>
                <w:rFonts w:hint="eastAsia" w:ascii="宋体" w:hAnsi="宋体" w:eastAsia="宋体" w:cs="宋体"/>
                <w:i w:val="0"/>
                <w:iCs w:val="0"/>
                <w:color w:val="000000"/>
                <w:sz w:val="21"/>
                <w:szCs w:val="21"/>
                <w:highlight w:val="none"/>
                <w:u w:val="none"/>
                <w:lang w:val="en-US" w:eastAsia="zh-CN" w:bidi="ar"/>
              </w:rPr>
              <w:t xml:space="preserve">01</w:t>
            </w:r>
            <w:r>
              <w:rPr>
                <w:rFonts w:hint="eastAsia" w:ascii="宋体" w:hAnsi="宋体" w:eastAsia="宋体" w:cs="宋体"/>
                <w:i w:val="0"/>
                <w:iCs w:val="0"/>
                <w:color w:val="000000"/>
                <w:sz w:val="21"/>
                <w:szCs w:val="21"/>
                <w:highlight w:val="none"/>
                <w:u w:val="none"/>
              </w:rPr>
            </w:r>
            <w:r/>
          </w:p>
        </w:tc>
        <w:tc>
          <w:tcPr>
            <w:shd w:val="clear" w:color="ffffff" w:fill="ffffff"/>
            <w:tcW w:w="6120" w:type="dxa"/>
            <w:vAlign w:val="center"/>
            <w:textDirection w:val="lrTb"/>
            <w:noWrap w:val="false"/>
          </w:tcPr>
          <w:p>
            <w:pPr>
              <w:pStyle w:val="801"/>
              <w:jc w:val="left"/>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1.项目内容:新建系船钩，250kNN。</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2.壳体材质规格:铸钢ZG270-500。</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3.灌浆:安装完毕后，壳内灌注S水泥砂浆。</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4.除锈:除锈等级Sa2.5，除锈方法为砂除锈。</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5.涂装:底漆：环氧富锌漆75μm；中间漆：环氧云母氧化铁 200μm；面漆：改性耐磨环氧涂料 125μm；防腐漆膜总厚度≥400μm。</w:t>
            </w:r>
            <w:r>
              <w:rPr>
                <w:rFonts w:hint="eastAsia" w:ascii="宋体" w:hAnsi="宋体" w:eastAsia="宋体" w:cs="宋体"/>
                <w:i w:val="0"/>
                <w:iCs w:val="0"/>
                <w:color w:val="000000"/>
                <w:sz w:val="21"/>
                <w:szCs w:val="21"/>
                <w:highlight w:val="none"/>
                <w:u w:val="none"/>
              </w:rPr>
            </w:r>
            <w:r/>
          </w:p>
        </w:tc>
        <w:tc>
          <w:tcPr>
            <w:shd w:val="clear" w:color="ffffff" w:fill="ffffff"/>
            <w:tcW w:w="549" w:type="dxa"/>
            <w:vAlign w:val="center"/>
            <w:textDirection w:val="lrTb"/>
            <w:noWrap w:val="false"/>
          </w:tcPr>
          <w:p>
            <w:pPr>
              <w:pStyle w:val="801"/>
              <w:jc w:val="center"/>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rPr>
            </w:r>
            <w:r/>
          </w:p>
        </w:tc>
        <w:tc>
          <w:tcPr>
            <w:shd w:val="clear" w:color="ffffff" w:fill="ffffff"/>
            <w:tcW w:w="840" w:type="dxa"/>
            <w:vAlign w:val="center"/>
            <w:textDirection w:val="lrTb"/>
            <w:noWrap w:val="false"/>
          </w:tcPr>
          <w:p>
            <w:pPr>
              <w:pStyle w:val="801"/>
              <w:jc w:val="right"/>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55</w:t>
            </w:r>
            <w:r>
              <w:rPr>
                <w:rFonts w:hint="eastAsia" w:ascii="宋体" w:hAnsi="宋体" w:eastAsia="宋体" w:cs="宋体"/>
                <w:i w:val="0"/>
                <w:iCs w:val="0"/>
                <w:color w:val="000000"/>
                <w:sz w:val="21"/>
                <w:szCs w:val="21"/>
                <w:highlight w:val="none"/>
                <w:u w:val="none"/>
              </w:rPr>
            </w:r>
            <w:r/>
          </w:p>
        </w:tc>
      </w:tr>
      <w:tr>
        <w:trPr>
          <w:trHeight w:val="1200"/>
        </w:trPr>
        <w:tc>
          <w:tcPr>
            <w:shd w:val="clear" w:color="ffffff" w:fill="ffffff"/>
            <w:tcW w:w="430" w:type="dxa"/>
            <w:vAlign w:val="center"/>
            <w:textDirection w:val="lrTb"/>
            <w:noWrap w:val="false"/>
          </w:tcPr>
          <w:p>
            <w:pPr>
              <w:pStyle w:val="801"/>
              <w:jc w:val="center"/>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w:t>
            </w:r>
            <w:r>
              <w:rPr>
                <w:rFonts w:hint="eastAsia" w:ascii="宋体" w:hAnsi="宋体" w:eastAsia="宋体" w:cs="宋体"/>
                <w:i w:val="0"/>
                <w:iCs w:val="0"/>
                <w:color w:val="000000"/>
                <w:sz w:val="21"/>
                <w:szCs w:val="21"/>
                <w:highlight w:val="none"/>
                <w:u w:val="none"/>
              </w:rPr>
            </w:r>
            <w:r/>
          </w:p>
        </w:tc>
        <w:tc>
          <w:tcPr>
            <w:shd w:val="clear" w:color="ffffff" w:fill="ffffff"/>
            <w:tcW w:w="1160" w:type="dxa"/>
            <w:vAlign w:val="center"/>
            <w:textDirection w:val="lrTb"/>
            <w:noWrap w:val="false"/>
          </w:tcPr>
          <w:p>
            <w:pPr>
              <w:pStyle w:val="801"/>
              <w:jc w:val="left"/>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系船钩盒钢板</w:t>
            </w:r>
            <w:r>
              <w:rPr>
                <w:rFonts w:hint="eastAsia" w:ascii="宋体" w:hAnsi="宋体" w:eastAsia="宋体" w:cs="宋体"/>
                <w:i w:val="0"/>
                <w:iCs w:val="0"/>
                <w:color w:val="000000"/>
                <w:sz w:val="21"/>
                <w:szCs w:val="21"/>
                <w:highlight w:val="none"/>
                <w:u w:val="none"/>
                <w:lang w:val="en-US" w:eastAsia="zh-CN" w:bidi="ar"/>
              </w:rPr>
              <w:t xml:space="preserve">01</w:t>
            </w:r>
            <w:r>
              <w:rPr>
                <w:rFonts w:hint="eastAsia" w:ascii="宋体" w:hAnsi="宋体" w:eastAsia="宋体" w:cs="宋体"/>
                <w:i w:val="0"/>
                <w:iCs w:val="0"/>
                <w:color w:val="000000"/>
                <w:sz w:val="21"/>
                <w:szCs w:val="21"/>
                <w:highlight w:val="none"/>
                <w:u w:val="none"/>
              </w:rPr>
            </w:r>
            <w:r/>
          </w:p>
        </w:tc>
        <w:tc>
          <w:tcPr>
            <w:shd w:val="clear" w:color="ffffff" w:fill="ffffff"/>
            <w:tcW w:w="6120" w:type="dxa"/>
            <w:vAlign w:val="center"/>
            <w:textDirection w:val="lrTb"/>
            <w:noWrap w:val="false"/>
          </w:tcPr>
          <w:p>
            <w:pPr>
              <w:pStyle w:val="801"/>
              <w:jc w:val="left"/>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1.项目内容：系船钩盒钢板。</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2.材质规格：钢材Q235B。</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3.除锈:除锈等级Sa2.5，除锈方法为砂除锈</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4.涂装:底漆：环氧富锌漆75μm；中间漆：环氧云母氧化铁200μm；面漆：改性耐磨环氧涂料 125μm；防腐漆膜总厚度≥400μm。</w:t>
            </w:r>
            <w:r>
              <w:rPr>
                <w:rFonts w:hint="eastAsia" w:ascii="宋体" w:hAnsi="宋体" w:eastAsia="宋体" w:cs="宋体"/>
                <w:i w:val="0"/>
                <w:iCs w:val="0"/>
                <w:color w:val="000000"/>
                <w:sz w:val="21"/>
                <w:szCs w:val="21"/>
                <w:highlight w:val="none"/>
                <w:u w:val="none"/>
              </w:rPr>
            </w:r>
            <w:r/>
          </w:p>
        </w:tc>
        <w:tc>
          <w:tcPr>
            <w:shd w:val="clear" w:color="ffffff" w:fill="ffffff"/>
            <w:tcW w:w="549" w:type="dxa"/>
            <w:vAlign w:val="center"/>
            <w:textDirection w:val="lrTb"/>
            <w:noWrap w:val="false"/>
          </w:tcPr>
          <w:p>
            <w:pPr>
              <w:pStyle w:val="801"/>
              <w:jc w:val="center"/>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t</w:t>
            </w:r>
            <w:r>
              <w:rPr>
                <w:rFonts w:hint="eastAsia" w:ascii="宋体" w:hAnsi="宋体" w:eastAsia="宋体" w:cs="宋体"/>
                <w:i w:val="0"/>
                <w:iCs w:val="0"/>
                <w:color w:val="000000"/>
                <w:sz w:val="21"/>
                <w:szCs w:val="21"/>
                <w:highlight w:val="none"/>
                <w:u w:val="none"/>
              </w:rPr>
            </w:r>
            <w:r/>
          </w:p>
        </w:tc>
        <w:tc>
          <w:tcPr>
            <w:shd w:val="clear" w:color="ffffff" w:fill="ffffff"/>
            <w:tcW w:w="840" w:type="dxa"/>
            <w:vAlign w:val="center"/>
            <w:textDirection w:val="lrTb"/>
            <w:noWrap w:val="false"/>
          </w:tcPr>
          <w:p>
            <w:pPr>
              <w:pStyle w:val="801"/>
              <w:jc w:val="right"/>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8.86</w:t>
            </w:r>
            <w:r>
              <w:rPr>
                <w:rFonts w:hint="eastAsia" w:ascii="宋体" w:hAnsi="宋体" w:eastAsia="宋体" w:cs="宋体"/>
                <w:i w:val="0"/>
                <w:iCs w:val="0"/>
                <w:color w:val="000000"/>
                <w:sz w:val="21"/>
                <w:szCs w:val="21"/>
                <w:highlight w:val="none"/>
                <w:u w:val="none"/>
              </w:rPr>
            </w:r>
            <w:r/>
          </w:p>
        </w:tc>
      </w:tr>
      <w:tr>
        <w:trPr>
          <w:trHeight w:val="2110"/>
        </w:trPr>
        <w:tc>
          <w:tcPr>
            <w:shd w:val="clear" w:color="ffffff" w:fill="ffffff"/>
            <w:tcW w:w="430" w:type="dxa"/>
            <w:vAlign w:val="center"/>
            <w:textDirection w:val="lrTb"/>
            <w:noWrap w:val="false"/>
          </w:tcPr>
          <w:p>
            <w:pPr>
              <w:pStyle w:val="801"/>
              <w:jc w:val="center"/>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w:t>
            </w:r>
            <w:r>
              <w:rPr>
                <w:rFonts w:hint="eastAsia" w:ascii="宋体" w:hAnsi="宋体" w:eastAsia="宋体" w:cs="宋体"/>
                <w:i w:val="0"/>
                <w:iCs w:val="0"/>
                <w:color w:val="000000"/>
                <w:sz w:val="21"/>
                <w:szCs w:val="21"/>
                <w:highlight w:val="none"/>
                <w:u w:val="none"/>
              </w:rPr>
            </w:r>
            <w:r/>
          </w:p>
        </w:tc>
        <w:tc>
          <w:tcPr>
            <w:shd w:val="clear" w:color="ffffff" w:fill="ffffff"/>
            <w:tcW w:w="1160" w:type="dxa"/>
            <w:vAlign w:val="center"/>
            <w:textDirection w:val="lrTb"/>
            <w:noWrap w:val="false"/>
          </w:tcPr>
          <w:p>
            <w:pPr>
              <w:pStyle w:val="801"/>
              <w:jc w:val="left"/>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15#靠船墩改造混凝土</w:t>
            </w:r>
            <w:r>
              <w:rPr>
                <w:rFonts w:hint="eastAsia" w:ascii="宋体" w:hAnsi="宋体" w:eastAsia="宋体" w:cs="宋体"/>
                <w:i w:val="0"/>
                <w:iCs w:val="0"/>
                <w:color w:val="000000"/>
                <w:sz w:val="21"/>
                <w:szCs w:val="21"/>
                <w:highlight w:val="none"/>
                <w:u w:val="none"/>
              </w:rPr>
            </w:r>
            <w:r/>
          </w:p>
        </w:tc>
        <w:tc>
          <w:tcPr>
            <w:shd w:val="clear" w:color="ffffff" w:fill="ffffff"/>
            <w:tcW w:w="6120" w:type="dxa"/>
            <w:vAlign w:val="center"/>
            <w:textDirection w:val="lrTb"/>
            <w:noWrap w:val="false"/>
          </w:tcPr>
          <w:p>
            <w:pPr>
              <w:pStyle w:val="801"/>
              <w:jc w:val="left"/>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1.混凝土种类及强度:C30商品砼。</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其他说明：本项目报价除自身商品砼采购浇筑费用外，还应包括⑴商品砼超距离（如有）运输运增加费用；⑵设计及施工验收规范（如有）要求的商品砼外加剂（如抗渗、抗裂等）费用；⑶施工中需要搭设浇筑脚手、浇筑平台、模板支护及拆除等措施费用；⑷完成本项目需要的其他费用。</w:t>
            </w:r>
            <w:r>
              <w:rPr>
                <w:rFonts w:hint="eastAsia" w:ascii="宋体" w:hAnsi="宋体" w:eastAsia="宋体" w:cs="宋体"/>
                <w:i w:val="0"/>
                <w:iCs w:val="0"/>
                <w:color w:val="000000"/>
                <w:sz w:val="21"/>
                <w:szCs w:val="21"/>
                <w:highlight w:val="none"/>
                <w:u w:val="none"/>
              </w:rPr>
            </w:r>
            <w:r/>
          </w:p>
        </w:tc>
        <w:tc>
          <w:tcPr>
            <w:shd w:val="clear" w:color="ffffff" w:fill="ffffff"/>
            <w:tcW w:w="549" w:type="dxa"/>
            <w:vAlign w:val="center"/>
            <w:textDirection w:val="lrTb"/>
            <w:noWrap w:val="false"/>
          </w:tcPr>
          <w:p>
            <w:pPr>
              <w:pStyle w:val="801"/>
              <w:jc w:val="center"/>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m³</w:t>
            </w:r>
            <w:r>
              <w:rPr>
                <w:rFonts w:hint="eastAsia" w:ascii="宋体" w:hAnsi="宋体" w:eastAsia="宋体" w:cs="宋体"/>
                <w:i w:val="0"/>
                <w:iCs w:val="0"/>
                <w:color w:val="000000"/>
                <w:sz w:val="21"/>
                <w:szCs w:val="21"/>
                <w:highlight w:val="none"/>
                <w:u w:val="none"/>
              </w:rPr>
            </w:r>
            <w:r/>
          </w:p>
        </w:tc>
        <w:tc>
          <w:tcPr>
            <w:shd w:val="clear" w:color="ffffff" w:fill="ffffff"/>
            <w:tcW w:w="840" w:type="dxa"/>
            <w:vAlign w:val="center"/>
            <w:textDirection w:val="lrTb"/>
            <w:noWrap w:val="false"/>
          </w:tcPr>
          <w:p>
            <w:pPr>
              <w:pStyle w:val="801"/>
              <w:jc w:val="right"/>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52.6</w:t>
            </w:r>
            <w:r>
              <w:rPr>
                <w:rFonts w:hint="eastAsia" w:ascii="宋体" w:hAnsi="宋体" w:eastAsia="宋体" w:cs="宋体"/>
                <w:i w:val="0"/>
                <w:iCs w:val="0"/>
                <w:color w:val="000000"/>
                <w:sz w:val="21"/>
                <w:szCs w:val="21"/>
                <w:highlight w:val="none"/>
                <w:u w:val="none"/>
              </w:rPr>
            </w:r>
            <w:r/>
          </w:p>
        </w:tc>
      </w:tr>
      <w:tr>
        <w:trPr>
          <w:trHeight w:val="1170"/>
        </w:trPr>
        <w:tc>
          <w:tcPr>
            <w:shd w:val="clear" w:color="ffffff" w:fill="ffffff"/>
            <w:tcW w:w="430" w:type="dxa"/>
            <w:vAlign w:val="center"/>
            <w:textDirection w:val="lrTb"/>
            <w:noWrap w:val="false"/>
          </w:tcPr>
          <w:p>
            <w:pPr>
              <w:pStyle w:val="801"/>
              <w:jc w:val="center"/>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w:t>
            </w:r>
            <w:r>
              <w:rPr>
                <w:rFonts w:hint="eastAsia" w:ascii="宋体" w:hAnsi="宋体" w:eastAsia="宋体" w:cs="宋体"/>
                <w:i w:val="0"/>
                <w:iCs w:val="0"/>
                <w:color w:val="000000"/>
                <w:sz w:val="21"/>
                <w:szCs w:val="21"/>
                <w:highlight w:val="none"/>
                <w:u w:val="none"/>
              </w:rPr>
            </w:r>
            <w:r/>
          </w:p>
        </w:tc>
        <w:tc>
          <w:tcPr>
            <w:shd w:val="clear" w:color="ffffff" w:fill="ffffff"/>
            <w:tcW w:w="1160" w:type="dxa"/>
            <w:vAlign w:val="center"/>
            <w:textDirection w:val="lrTb"/>
            <w:noWrap w:val="false"/>
          </w:tcPr>
          <w:p>
            <w:pPr>
              <w:pStyle w:val="801"/>
              <w:jc w:val="left"/>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15#靠船墩改造钢筋</w:t>
            </w:r>
            <w:r>
              <w:rPr>
                <w:rFonts w:hint="eastAsia" w:ascii="宋体" w:hAnsi="宋体" w:eastAsia="宋体" w:cs="宋体"/>
                <w:i w:val="0"/>
                <w:iCs w:val="0"/>
                <w:color w:val="000000"/>
                <w:sz w:val="21"/>
                <w:szCs w:val="21"/>
                <w:highlight w:val="none"/>
                <w:u w:val="none"/>
              </w:rPr>
            </w:r>
            <w:r/>
          </w:p>
        </w:tc>
        <w:tc>
          <w:tcPr>
            <w:shd w:val="clear" w:color="ffffff" w:fill="ffffff"/>
            <w:tcW w:w="6120" w:type="dxa"/>
            <w:vAlign w:val="center"/>
            <w:textDirection w:val="lrTb"/>
            <w:noWrap w:val="false"/>
          </w:tcPr>
          <w:p>
            <w:pPr>
              <w:pStyle w:val="801"/>
              <w:jc w:val="left"/>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1.钢筋种类:HRB400。</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2.钢筋规格:大于等于Φ12。</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3.施工部位:墩身钢筋。</w:t>
            </w:r>
            <w:r>
              <w:rPr>
                <w:rFonts w:hint="eastAsia" w:ascii="宋体" w:hAnsi="宋体" w:eastAsia="宋体" w:cs="宋体"/>
                <w:i w:val="0"/>
                <w:iCs w:val="0"/>
                <w:color w:val="000000"/>
                <w:sz w:val="21"/>
                <w:szCs w:val="21"/>
                <w:highlight w:val="none"/>
                <w:u w:val="none"/>
              </w:rPr>
            </w:r>
            <w:r/>
          </w:p>
        </w:tc>
        <w:tc>
          <w:tcPr>
            <w:shd w:val="clear" w:color="ffffff" w:fill="ffffff"/>
            <w:tcW w:w="549" w:type="dxa"/>
            <w:vAlign w:val="center"/>
            <w:textDirection w:val="lrTb"/>
            <w:noWrap w:val="false"/>
          </w:tcPr>
          <w:p>
            <w:pPr>
              <w:pStyle w:val="801"/>
              <w:jc w:val="center"/>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t</w:t>
            </w:r>
            <w:r>
              <w:rPr>
                <w:rFonts w:hint="eastAsia" w:ascii="宋体" w:hAnsi="宋体" w:eastAsia="宋体" w:cs="宋体"/>
                <w:i w:val="0"/>
                <w:iCs w:val="0"/>
                <w:color w:val="000000"/>
                <w:sz w:val="21"/>
                <w:szCs w:val="21"/>
                <w:highlight w:val="none"/>
                <w:u w:val="none"/>
              </w:rPr>
            </w:r>
            <w:r/>
          </w:p>
        </w:tc>
        <w:tc>
          <w:tcPr>
            <w:shd w:val="clear" w:color="ffffff" w:fill="ffffff"/>
            <w:tcW w:w="840" w:type="dxa"/>
            <w:vAlign w:val="center"/>
            <w:textDirection w:val="lrTb"/>
            <w:noWrap w:val="false"/>
          </w:tcPr>
          <w:p>
            <w:pPr>
              <w:pStyle w:val="801"/>
              <w:jc w:val="right"/>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0.4</w:t>
            </w:r>
            <w:r>
              <w:rPr>
                <w:rFonts w:hint="eastAsia" w:ascii="宋体" w:hAnsi="宋体" w:eastAsia="宋体" w:cs="宋体"/>
                <w:i w:val="0"/>
                <w:iCs w:val="0"/>
                <w:color w:val="000000"/>
                <w:sz w:val="21"/>
                <w:szCs w:val="21"/>
                <w:highlight w:val="none"/>
                <w:u w:val="none"/>
              </w:rPr>
            </w:r>
            <w:r/>
          </w:p>
        </w:tc>
      </w:tr>
      <w:tr>
        <w:trPr>
          <w:trHeight w:val="1690"/>
        </w:trPr>
        <w:tc>
          <w:tcPr>
            <w:shd w:val="clear" w:color="ffffff" w:fill="ffffff"/>
            <w:tcW w:w="430" w:type="dxa"/>
            <w:vAlign w:val="center"/>
            <w:textDirection w:val="lrTb"/>
            <w:noWrap w:val="false"/>
          </w:tcPr>
          <w:p>
            <w:pPr>
              <w:pStyle w:val="801"/>
              <w:jc w:val="center"/>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w:t>
            </w:r>
            <w:r>
              <w:rPr>
                <w:rFonts w:hint="eastAsia" w:ascii="宋体" w:hAnsi="宋体" w:eastAsia="宋体" w:cs="宋体"/>
                <w:i w:val="0"/>
                <w:iCs w:val="0"/>
                <w:color w:val="000000"/>
                <w:sz w:val="21"/>
                <w:szCs w:val="21"/>
                <w:highlight w:val="none"/>
                <w:u w:val="none"/>
              </w:rPr>
            </w:r>
            <w:r/>
          </w:p>
        </w:tc>
        <w:tc>
          <w:tcPr>
            <w:shd w:val="clear" w:color="ffffff" w:fill="ffffff"/>
            <w:tcW w:w="1160" w:type="dxa"/>
            <w:vAlign w:val="center"/>
            <w:textDirection w:val="lrTb"/>
            <w:noWrap w:val="false"/>
          </w:tcPr>
          <w:p>
            <w:pPr>
              <w:pStyle w:val="801"/>
              <w:jc w:val="left"/>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15#墙面植筋</w:t>
            </w:r>
            <w:r>
              <w:rPr>
                <w:rFonts w:hint="eastAsia" w:ascii="宋体" w:hAnsi="宋体" w:eastAsia="宋体" w:cs="宋体"/>
                <w:i w:val="0"/>
                <w:iCs w:val="0"/>
                <w:color w:val="000000"/>
                <w:sz w:val="21"/>
                <w:szCs w:val="21"/>
                <w:highlight w:val="none"/>
                <w:u w:val="none"/>
              </w:rPr>
            </w:r>
            <w:r/>
          </w:p>
        </w:tc>
        <w:tc>
          <w:tcPr>
            <w:shd w:val="clear" w:color="ffffff" w:fill="ffffff"/>
            <w:tcW w:w="6120" w:type="dxa"/>
            <w:vAlign w:val="center"/>
            <w:textDirection w:val="lrTb"/>
            <w:noWrap w:val="false"/>
          </w:tcPr>
          <w:p>
            <w:pPr>
              <w:pStyle w:val="801"/>
              <w:jc w:val="left"/>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1.材料种类、规格:20HRB400。</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2.植入深度:钻孔、清空、植入深度不小于400mm，钢筋长1000mm。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3.植筋胶品种:改性环氧类或改性乙烯基醇类的胶粘剂。</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4.其他说明:其他要求详见图纸。</w:t>
            </w:r>
            <w:r>
              <w:rPr>
                <w:rFonts w:hint="eastAsia" w:ascii="宋体" w:hAnsi="宋体" w:eastAsia="宋体" w:cs="宋体"/>
                <w:i w:val="0"/>
                <w:iCs w:val="0"/>
                <w:color w:val="000000"/>
                <w:sz w:val="21"/>
                <w:szCs w:val="21"/>
                <w:highlight w:val="none"/>
                <w:u w:val="none"/>
              </w:rPr>
            </w:r>
            <w:r/>
          </w:p>
        </w:tc>
        <w:tc>
          <w:tcPr>
            <w:shd w:val="clear" w:color="ffffff" w:fill="ffffff"/>
            <w:tcW w:w="549" w:type="dxa"/>
            <w:vAlign w:val="center"/>
            <w:textDirection w:val="lrTb"/>
            <w:noWrap w:val="false"/>
          </w:tcPr>
          <w:p>
            <w:pPr>
              <w:pStyle w:val="801"/>
              <w:jc w:val="center"/>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根</w:t>
            </w:r>
            <w:r>
              <w:rPr>
                <w:rFonts w:hint="eastAsia" w:ascii="宋体" w:hAnsi="宋体" w:eastAsia="宋体" w:cs="宋体"/>
                <w:i w:val="0"/>
                <w:iCs w:val="0"/>
                <w:color w:val="000000"/>
                <w:sz w:val="21"/>
                <w:szCs w:val="21"/>
                <w:highlight w:val="none"/>
                <w:u w:val="none"/>
              </w:rPr>
            </w:r>
            <w:r/>
          </w:p>
        </w:tc>
        <w:tc>
          <w:tcPr>
            <w:shd w:val="clear" w:color="ffffff" w:fill="ffffff"/>
            <w:tcW w:w="840" w:type="dxa"/>
            <w:vAlign w:val="center"/>
            <w:textDirection w:val="lrTb"/>
            <w:noWrap w:val="false"/>
          </w:tcPr>
          <w:p>
            <w:pPr>
              <w:pStyle w:val="801"/>
              <w:jc w:val="right"/>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49</w:t>
            </w:r>
            <w:r>
              <w:rPr>
                <w:rFonts w:hint="eastAsia" w:ascii="宋体" w:hAnsi="宋体" w:eastAsia="宋体" w:cs="宋体"/>
                <w:i w:val="0"/>
                <w:iCs w:val="0"/>
                <w:color w:val="000000"/>
                <w:sz w:val="21"/>
                <w:szCs w:val="21"/>
                <w:highlight w:val="none"/>
                <w:u w:val="none"/>
              </w:rPr>
            </w:r>
            <w:r/>
          </w:p>
        </w:tc>
      </w:tr>
      <w:tr>
        <w:trPr>
          <w:trHeight w:val="2177"/>
        </w:trPr>
        <w:tc>
          <w:tcPr>
            <w:shd w:val="clear" w:color="ffffff" w:fill="ffffff"/>
            <w:tcW w:w="430" w:type="dxa"/>
            <w:vAlign w:val="center"/>
            <w:textDirection w:val="lrTb"/>
            <w:noWrap w:val="false"/>
          </w:tcPr>
          <w:p>
            <w:pPr>
              <w:pStyle w:val="801"/>
              <w:jc w:val="center"/>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w:t>
            </w:r>
            <w:r>
              <w:rPr>
                <w:rFonts w:hint="eastAsia" w:ascii="宋体" w:hAnsi="宋体" w:eastAsia="宋体" w:cs="宋体"/>
                <w:i w:val="0"/>
                <w:iCs w:val="0"/>
                <w:color w:val="000000"/>
                <w:sz w:val="21"/>
                <w:szCs w:val="21"/>
                <w:highlight w:val="none"/>
                <w:u w:val="none"/>
              </w:rPr>
            </w:r>
            <w:r/>
          </w:p>
        </w:tc>
        <w:tc>
          <w:tcPr>
            <w:shd w:val="clear" w:color="ffffff" w:fill="ffffff"/>
            <w:tcW w:w="1160" w:type="dxa"/>
            <w:vAlign w:val="center"/>
            <w:textDirection w:val="lrTb"/>
            <w:noWrap w:val="false"/>
          </w:tcPr>
          <w:p>
            <w:pPr>
              <w:pStyle w:val="801"/>
              <w:jc w:val="left"/>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新建系船柱</w:t>
            </w:r>
            <w:r>
              <w:rPr>
                <w:rFonts w:hint="eastAsia" w:ascii="宋体" w:hAnsi="宋体" w:eastAsia="宋体" w:cs="宋体"/>
                <w:i w:val="0"/>
                <w:iCs w:val="0"/>
                <w:color w:val="000000"/>
                <w:sz w:val="21"/>
                <w:szCs w:val="21"/>
                <w:highlight w:val="none"/>
                <w:u w:val="none"/>
                <w:lang w:val="en-US" w:eastAsia="zh-CN" w:bidi="ar"/>
              </w:rPr>
              <w:t xml:space="preserve">02</w:t>
            </w:r>
            <w:r>
              <w:rPr>
                <w:rFonts w:hint="eastAsia" w:ascii="宋体" w:hAnsi="宋体" w:eastAsia="宋体" w:cs="宋体"/>
                <w:i w:val="0"/>
                <w:iCs w:val="0"/>
                <w:color w:val="000000"/>
                <w:sz w:val="21"/>
                <w:szCs w:val="21"/>
                <w:highlight w:val="none"/>
                <w:u w:val="none"/>
              </w:rPr>
            </w:r>
            <w:r/>
          </w:p>
        </w:tc>
        <w:tc>
          <w:tcPr>
            <w:shd w:val="clear" w:color="ffffff" w:fill="ffffff"/>
            <w:tcW w:w="6120" w:type="dxa"/>
            <w:vAlign w:val="center"/>
            <w:textDirection w:val="lrTb"/>
            <w:noWrap w:val="false"/>
          </w:tcPr>
          <w:p>
            <w:pPr>
              <w:pStyle w:val="801"/>
              <w:jc w:val="left"/>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1.项目内容:新建系船柱，250kN。</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2.壳体材质规格:铸铁HT200、Q235B。</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3.螺栓固定:螺栓固定孔内沥青砂填塞。</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4.灌浆:系船柱安装完毕后，壳内灌注C30砼。</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5.防锈及涂装：系船柱壳体均涂红丹和防锈漆二度，柱头颜色用红白漆间涂。</w:t>
            </w:r>
            <w:r>
              <w:rPr>
                <w:rFonts w:hint="eastAsia" w:ascii="宋体" w:hAnsi="宋体" w:eastAsia="宋体" w:cs="宋体"/>
                <w:i w:val="0"/>
                <w:iCs w:val="0"/>
                <w:color w:val="000000"/>
                <w:sz w:val="21"/>
                <w:szCs w:val="21"/>
                <w:highlight w:val="none"/>
                <w:u w:val="none"/>
              </w:rPr>
            </w:r>
            <w:r/>
          </w:p>
        </w:tc>
        <w:tc>
          <w:tcPr>
            <w:shd w:val="clear" w:color="ffffff" w:fill="ffffff"/>
            <w:tcW w:w="549" w:type="dxa"/>
            <w:vAlign w:val="center"/>
            <w:textDirection w:val="lrTb"/>
            <w:noWrap w:val="false"/>
          </w:tcPr>
          <w:p>
            <w:pPr>
              <w:pStyle w:val="801"/>
              <w:jc w:val="center"/>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rPr>
            </w:r>
            <w:r/>
          </w:p>
        </w:tc>
        <w:tc>
          <w:tcPr>
            <w:shd w:val="clear" w:color="ffffff" w:fill="ffffff"/>
            <w:tcW w:w="840" w:type="dxa"/>
            <w:vAlign w:val="center"/>
            <w:textDirection w:val="lrTb"/>
            <w:noWrap w:val="false"/>
          </w:tcPr>
          <w:p>
            <w:pPr>
              <w:pStyle w:val="801"/>
              <w:jc w:val="right"/>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r>
      <w:tr>
        <w:trPr>
          <w:trHeight w:val="2410"/>
        </w:trPr>
        <w:tc>
          <w:tcPr>
            <w:shd w:val="clear" w:color="ffffff" w:fill="ffffff"/>
            <w:tcW w:w="430" w:type="dxa"/>
            <w:vAlign w:val="center"/>
            <w:textDirection w:val="lrTb"/>
            <w:noWrap w:val="false"/>
          </w:tcPr>
          <w:p>
            <w:pPr>
              <w:pStyle w:val="801"/>
              <w:jc w:val="center"/>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w:t>
            </w:r>
            <w:r>
              <w:rPr>
                <w:rFonts w:hint="eastAsia" w:ascii="宋体" w:hAnsi="宋体" w:eastAsia="宋体" w:cs="宋体"/>
                <w:i w:val="0"/>
                <w:iCs w:val="0"/>
                <w:color w:val="000000"/>
                <w:sz w:val="21"/>
                <w:szCs w:val="21"/>
                <w:highlight w:val="none"/>
                <w:u w:val="none"/>
              </w:rPr>
            </w:r>
            <w:r/>
          </w:p>
        </w:tc>
        <w:tc>
          <w:tcPr>
            <w:shd w:val="clear" w:color="ffffff" w:fill="ffffff"/>
            <w:tcW w:w="1160" w:type="dxa"/>
            <w:vAlign w:val="center"/>
            <w:textDirection w:val="lrTb"/>
            <w:noWrap w:val="false"/>
          </w:tcPr>
          <w:p>
            <w:pPr>
              <w:pStyle w:val="801"/>
              <w:jc w:val="left"/>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新建系船钩</w:t>
            </w:r>
            <w:r>
              <w:rPr>
                <w:rFonts w:hint="eastAsia" w:ascii="宋体" w:hAnsi="宋体" w:eastAsia="宋体" w:cs="宋体"/>
                <w:i w:val="0"/>
                <w:iCs w:val="0"/>
                <w:color w:val="000000"/>
                <w:sz w:val="21"/>
                <w:szCs w:val="21"/>
                <w:highlight w:val="none"/>
                <w:u w:val="none"/>
                <w:lang w:val="en-US" w:eastAsia="zh-CN" w:bidi="ar"/>
              </w:rPr>
              <w:t xml:space="preserve">02</w:t>
            </w:r>
            <w:r>
              <w:rPr>
                <w:rFonts w:hint="eastAsia" w:ascii="宋体" w:hAnsi="宋体" w:eastAsia="宋体" w:cs="宋体"/>
                <w:i w:val="0"/>
                <w:iCs w:val="0"/>
                <w:color w:val="000000"/>
                <w:sz w:val="21"/>
                <w:szCs w:val="21"/>
                <w:highlight w:val="none"/>
                <w:u w:val="none"/>
              </w:rPr>
            </w:r>
            <w:r/>
          </w:p>
        </w:tc>
        <w:tc>
          <w:tcPr>
            <w:shd w:val="clear" w:color="ffffff" w:fill="ffffff"/>
            <w:tcW w:w="6120" w:type="dxa"/>
            <w:vAlign w:val="center"/>
            <w:textDirection w:val="lrTb"/>
            <w:noWrap w:val="false"/>
          </w:tcPr>
          <w:p>
            <w:pPr>
              <w:pStyle w:val="801"/>
              <w:jc w:val="left"/>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1.项目内容:新建系船钩，250kNN。</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2.壳体材质规格:铸钢ZG270-500。</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3.灌浆:安装完毕后，壳内灌注S水泥砂浆。</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4.除锈:除锈等级Sa2.5，除锈方法为砂除锈。</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5.涂装:底漆：环氧富锌漆75μm；中间漆：环氧云母氧化铁200μm；面漆：改性耐磨环氧涂料125μm；防腐漆膜总厚度≥400μm。</w:t>
            </w:r>
            <w:r>
              <w:rPr>
                <w:rFonts w:hint="eastAsia" w:ascii="宋体" w:hAnsi="宋体" w:eastAsia="宋体" w:cs="宋体"/>
                <w:i w:val="0"/>
                <w:iCs w:val="0"/>
                <w:color w:val="000000"/>
                <w:sz w:val="21"/>
                <w:szCs w:val="21"/>
                <w:highlight w:val="none"/>
                <w:u w:val="none"/>
              </w:rPr>
            </w:r>
            <w:r/>
          </w:p>
        </w:tc>
        <w:tc>
          <w:tcPr>
            <w:shd w:val="clear" w:color="ffffff" w:fill="ffffff"/>
            <w:tcW w:w="549" w:type="dxa"/>
            <w:vAlign w:val="center"/>
            <w:textDirection w:val="lrTb"/>
            <w:noWrap w:val="false"/>
          </w:tcPr>
          <w:p>
            <w:pPr>
              <w:pStyle w:val="801"/>
              <w:jc w:val="center"/>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rPr>
            </w:r>
            <w:r/>
          </w:p>
        </w:tc>
        <w:tc>
          <w:tcPr>
            <w:shd w:val="clear" w:color="ffffff" w:fill="ffffff"/>
            <w:tcW w:w="840" w:type="dxa"/>
            <w:vAlign w:val="center"/>
            <w:textDirection w:val="lrTb"/>
            <w:noWrap w:val="false"/>
          </w:tcPr>
          <w:p>
            <w:pPr>
              <w:pStyle w:val="801"/>
              <w:jc w:val="right"/>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r>
      <w:tr>
        <w:trPr>
          <w:trHeight w:val="2244"/>
        </w:trPr>
        <w:tc>
          <w:tcPr>
            <w:shd w:val="clear" w:color="ffffff" w:fill="ffffff"/>
            <w:tcW w:w="430" w:type="dxa"/>
            <w:vAlign w:val="center"/>
            <w:textDirection w:val="lrTb"/>
            <w:noWrap w:val="false"/>
          </w:tcPr>
          <w:p>
            <w:pPr>
              <w:pStyle w:val="801"/>
              <w:jc w:val="center"/>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w:t>
            </w:r>
            <w:r>
              <w:rPr>
                <w:rFonts w:hint="eastAsia" w:ascii="宋体" w:hAnsi="宋体" w:eastAsia="宋体" w:cs="宋体"/>
                <w:i w:val="0"/>
                <w:iCs w:val="0"/>
                <w:color w:val="000000"/>
                <w:sz w:val="21"/>
                <w:szCs w:val="21"/>
                <w:highlight w:val="none"/>
                <w:u w:val="none"/>
              </w:rPr>
            </w:r>
            <w:r/>
          </w:p>
        </w:tc>
        <w:tc>
          <w:tcPr>
            <w:shd w:val="clear" w:color="ffffff" w:fill="ffffff"/>
            <w:tcW w:w="1160" w:type="dxa"/>
            <w:vAlign w:val="center"/>
            <w:textDirection w:val="lrTb"/>
            <w:noWrap w:val="false"/>
          </w:tcPr>
          <w:p>
            <w:pPr>
              <w:pStyle w:val="801"/>
              <w:jc w:val="left"/>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系船钩盒钢板</w:t>
            </w:r>
            <w:r>
              <w:rPr>
                <w:rFonts w:hint="eastAsia" w:ascii="宋体" w:hAnsi="宋体" w:eastAsia="宋体" w:cs="宋体"/>
                <w:i w:val="0"/>
                <w:iCs w:val="0"/>
                <w:color w:val="000000"/>
                <w:sz w:val="21"/>
                <w:szCs w:val="21"/>
                <w:highlight w:val="none"/>
                <w:u w:val="none"/>
                <w:lang w:val="en-US" w:eastAsia="zh-CN" w:bidi="ar"/>
              </w:rPr>
              <w:t xml:space="preserve">02</w:t>
            </w:r>
            <w:r>
              <w:rPr>
                <w:rFonts w:hint="eastAsia" w:ascii="宋体" w:hAnsi="宋体" w:eastAsia="宋体" w:cs="宋体"/>
                <w:i w:val="0"/>
                <w:iCs w:val="0"/>
                <w:color w:val="000000"/>
                <w:sz w:val="21"/>
                <w:szCs w:val="21"/>
                <w:highlight w:val="none"/>
                <w:u w:val="none"/>
              </w:rPr>
            </w:r>
            <w:r/>
          </w:p>
        </w:tc>
        <w:tc>
          <w:tcPr>
            <w:shd w:val="clear" w:color="ffffff" w:fill="ffffff"/>
            <w:tcW w:w="6120" w:type="dxa"/>
            <w:vAlign w:val="center"/>
            <w:textDirection w:val="lrTb"/>
            <w:noWrap w:val="false"/>
          </w:tcPr>
          <w:p>
            <w:pPr>
              <w:pStyle w:val="801"/>
              <w:jc w:val="left"/>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1.项目内容:系船钩盒钢板。</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2.材质规格:钢材Q235B。</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3.除锈:除锈等级Sa2.5，除锈方法为砂除锈。</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4.涂装:底漆：环氧富锌漆75μm；中间漆：环氧云母氧化铁 200μm；面漆：改性耐磨环氧涂料 125μm；防腐漆膜总厚度≥400μm。</w:t>
            </w:r>
            <w:r>
              <w:rPr>
                <w:rFonts w:hint="eastAsia" w:ascii="宋体" w:hAnsi="宋体" w:eastAsia="宋体" w:cs="宋体"/>
                <w:i w:val="0"/>
                <w:iCs w:val="0"/>
                <w:color w:val="000000"/>
                <w:sz w:val="21"/>
                <w:szCs w:val="21"/>
                <w:highlight w:val="none"/>
                <w:u w:val="none"/>
              </w:rPr>
            </w:r>
            <w:r/>
          </w:p>
        </w:tc>
        <w:tc>
          <w:tcPr>
            <w:shd w:val="clear" w:color="ffffff" w:fill="ffffff"/>
            <w:tcW w:w="549" w:type="dxa"/>
            <w:vAlign w:val="center"/>
            <w:textDirection w:val="lrTb"/>
            <w:noWrap w:val="false"/>
          </w:tcPr>
          <w:p>
            <w:pPr>
              <w:pStyle w:val="801"/>
              <w:jc w:val="center"/>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t</w:t>
            </w:r>
            <w:r>
              <w:rPr>
                <w:rFonts w:hint="eastAsia" w:ascii="宋体" w:hAnsi="宋体" w:eastAsia="宋体" w:cs="宋体"/>
                <w:i w:val="0"/>
                <w:iCs w:val="0"/>
                <w:color w:val="000000"/>
                <w:sz w:val="21"/>
                <w:szCs w:val="21"/>
                <w:highlight w:val="none"/>
                <w:u w:val="none"/>
              </w:rPr>
            </w:r>
            <w:r/>
          </w:p>
        </w:tc>
        <w:tc>
          <w:tcPr>
            <w:shd w:val="clear" w:color="ffffff" w:fill="ffffff"/>
            <w:tcW w:w="840" w:type="dxa"/>
            <w:vAlign w:val="center"/>
            <w:textDirection w:val="lrTb"/>
            <w:noWrap w:val="false"/>
          </w:tcPr>
          <w:p>
            <w:pPr>
              <w:pStyle w:val="801"/>
              <w:jc w:val="right"/>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0.64</w:t>
            </w:r>
            <w:r>
              <w:rPr>
                <w:rFonts w:hint="eastAsia" w:ascii="宋体" w:hAnsi="宋体" w:eastAsia="宋体" w:cs="宋体"/>
                <w:i w:val="0"/>
                <w:iCs w:val="0"/>
                <w:color w:val="000000"/>
                <w:sz w:val="21"/>
                <w:szCs w:val="21"/>
                <w:highlight w:val="none"/>
                <w:u w:val="none"/>
              </w:rPr>
            </w:r>
            <w:r/>
          </w:p>
        </w:tc>
      </w:tr>
      <w:tr>
        <w:trPr>
          <w:trHeight w:val="3064"/>
        </w:trPr>
        <w:tc>
          <w:tcPr>
            <w:shd w:val="clear" w:color="ffffff" w:fill="ffffff"/>
            <w:tcW w:w="430" w:type="dxa"/>
            <w:vAlign w:val="center"/>
            <w:textDirection w:val="lrTb"/>
            <w:noWrap w:val="false"/>
          </w:tcPr>
          <w:p>
            <w:pPr>
              <w:pStyle w:val="801"/>
              <w:jc w:val="center"/>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w:t>
            </w:r>
            <w:r>
              <w:rPr>
                <w:rFonts w:hint="eastAsia" w:ascii="宋体" w:hAnsi="宋体" w:eastAsia="宋体" w:cs="宋体"/>
                <w:i w:val="0"/>
                <w:iCs w:val="0"/>
                <w:color w:val="000000"/>
                <w:sz w:val="21"/>
                <w:szCs w:val="21"/>
                <w:highlight w:val="none"/>
                <w:u w:val="none"/>
              </w:rPr>
            </w:r>
            <w:r/>
          </w:p>
        </w:tc>
        <w:tc>
          <w:tcPr>
            <w:shd w:val="clear" w:color="ffffff" w:fill="ffffff"/>
            <w:tcW w:w="1160" w:type="dxa"/>
            <w:vAlign w:val="center"/>
            <w:textDirection w:val="lrTb"/>
            <w:noWrap w:val="false"/>
          </w:tcPr>
          <w:p>
            <w:pPr>
              <w:pStyle w:val="801"/>
              <w:jc w:val="left"/>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空心板梁</w:t>
            </w:r>
            <w:r>
              <w:rPr>
                <w:rFonts w:hint="eastAsia" w:ascii="宋体" w:hAnsi="宋体" w:eastAsia="宋体" w:cs="宋体"/>
                <w:i w:val="0"/>
                <w:iCs w:val="0"/>
                <w:color w:val="000000"/>
                <w:sz w:val="21"/>
                <w:szCs w:val="21"/>
                <w:highlight w:val="none"/>
                <w:u w:val="none"/>
              </w:rPr>
            </w:r>
            <w:r/>
          </w:p>
        </w:tc>
        <w:tc>
          <w:tcPr>
            <w:shd w:val="clear" w:color="ffffff" w:fill="ffffff"/>
            <w:tcW w:w="6120" w:type="dxa"/>
            <w:vAlign w:val="center"/>
            <w:textDirection w:val="lrTb"/>
            <w:noWrap w:val="false"/>
          </w:tcPr>
          <w:p>
            <w:pPr>
              <w:pStyle w:val="801"/>
              <w:jc w:val="left"/>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1.混凝土种类及强度:C30商品砼。</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2.项目内容:钢筋混凝土空心板梁(17.8*1.2*0.6m)制安，具体明细尺寸等详见设计图纸。</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其他说明:⑴投标人应自行勘察现场，报价时充分考虑现场施工条件等各种不利因素及预制场地的租赁、搭设、拆除、恢复和所有模板支护拆除等各项措施费用、预制空心板梁的运输、吊装、安装费用等。⑵报价中还应重复考虑设计及施工验收规范（如有）要求的商品砼外加剂（如抗渗、抗裂等）费用。⑶竣工结算不调整清单报价。</w:t>
            </w:r>
            <w:r>
              <w:rPr>
                <w:rFonts w:hint="eastAsia" w:ascii="宋体" w:hAnsi="宋体" w:eastAsia="宋体" w:cs="宋体"/>
                <w:i w:val="0"/>
                <w:iCs w:val="0"/>
                <w:color w:val="000000"/>
                <w:sz w:val="21"/>
                <w:szCs w:val="21"/>
                <w:highlight w:val="none"/>
                <w:u w:val="none"/>
              </w:rPr>
            </w:r>
            <w:r/>
          </w:p>
        </w:tc>
        <w:tc>
          <w:tcPr>
            <w:shd w:val="clear" w:color="ffffff" w:fill="ffffff"/>
            <w:tcW w:w="549" w:type="dxa"/>
            <w:vAlign w:val="center"/>
            <w:textDirection w:val="lrTb"/>
            <w:noWrap w:val="false"/>
          </w:tcPr>
          <w:p>
            <w:pPr>
              <w:pStyle w:val="801"/>
              <w:jc w:val="center"/>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件</w:t>
            </w:r>
            <w:r>
              <w:rPr>
                <w:rFonts w:hint="eastAsia" w:ascii="宋体" w:hAnsi="宋体" w:eastAsia="宋体" w:cs="宋体"/>
                <w:i w:val="0"/>
                <w:iCs w:val="0"/>
                <w:color w:val="000000"/>
                <w:sz w:val="21"/>
                <w:szCs w:val="21"/>
                <w:highlight w:val="none"/>
                <w:u w:val="none"/>
              </w:rPr>
            </w:r>
            <w:r/>
          </w:p>
        </w:tc>
        <w:tc>
          <w:tcPr>
            <w:shd w:val="clear" w:color="ffffff" w:fill="ffffff"/>
            <w:tcW w:w="840" w:type="dxa"/>
            <w:vAlign w:val="center"/>
            <w:textDirection w:val="lrTb"/>
            <w:noWrap w:val="false"/>
          </w:tcPr>
          <w:p>
            <w:pPr>
              <w:pStyle w:val="801"/>
              <w:jc w:val="right"/>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rPr>
                <w:rFonts w:hint="eastAsia" w:ascii="宋体" w:hAnsi="宋体" w:eastAsia="宋体" w:cs="宋体"/>
                <w:i w:val="0"/>
                <w:iCs w:val="0"/>
                <w:color w:val="000000"/>
                <w:sz w:val="21"/>
                <w:szCs w:val="21"/>
                <w:highlight w:val="none"/>
                <w:u w:val="none"/>
              </w:rPr>
            </w:r>
            <w:r/>
          </w:p>
        </w:tc>
      </w:tr>
      <w:tr>
        <w:trPr>
          <w:trHeight w:val="843"/>
        </w:trPr>
        <w:tc>
          <w:tcPr>
            <w:shd w:val="clear" w:color="ffffff" w:fill="ffffff"/>
            <w:tcW w:w="430" w:type="dxa"/>
            <w:vAlign w:val="center"/>
            <w:textDirection w:val="lrTb"/>
            <w:noWrap w:val="false"/>
          </w:tcPr>
          <w:p>
            <w:pPr>
              <w:pStyle w:val="801"/>
              <w:jc w:val="center"/>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29</w:t>
            </w:r>
            <w:r>
              <w:rPr>
                <w:rFonts w:hint="eastAsia" w:ascii="宋体" w:hAnsi="宋体" w:eastAsia="宋体" w:cs="宋体"/>
                <w:i w:val="0"/>
                <w:iCs w:val="0"/>
                <w:color w:val="000000"/>
                <w:sz w:val="21"/>
                <w:szCs w:val="21"/>
                <w:highlight w:val="none"/>
                <w:u w:val="none"/>
              </w:rPr>
            </w:r>
            <w:r/>
          </w:p>
        </w:tc>
        <w:tc>
          <w:tcPr>
            <w:shd w:val="clear" w:color="ffffff" w:fill="ffffff"/>
            <w:tcW w:w="1160" w:type="dxa"/>
            <w:vAlign w:val="center"/>
            <w:textDirection w:val="lrTb"/>
            <w:noWrap w:val="false"/>
          </w:tcPr>
          <w:p>
            <w:pPr>
              <w:pStyle w:val="801"/>
              <w:jc w:val="left"/>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空心板梁封头</w:t>
            </w:r>
            <w:r>
              <w:rPr>
                <w:rFonts w:hint="eastAsia" w:ascii="宋体" w:hAnsi="宋体" w:eastAsia="宋体" w:cs="宋体"/>
                <w:i w:val="0"/>
                <w:iCs w:val="0"/>
                <w:color w:val="000000"/>
                <w:sz w:val="21"/>
                <w:szCs w:val="21"/>
                <w:highlight w:val="none"/>
                <w:u w:val="none"/>
              </w:rPr>
            </w:r>
            <w:r/>
          </w:p>
        </w:tc>
        <w:tc>
          <w:tcPr>
            <w:shd w:val="clear" w:color="ffffff" w:fill="ffffff"/>
            <w:tcW w:w="6120" w:type="dxa"/>
            <w:vAlign w:val="center"/>
            <w:textDirection w:val="lrTb"/>
            <w:noWrap w:val="false"/>
          </w:tcPr>
          <w:p>
            <w:pPr>
              <w:pStyle w:val="801"/>
              <w:jc w:val="left"/>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1.混凝土种类及强度:C25商品砼。</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2.施工部位:空心板梁封头混凝土。</w:t>
            </w:r>
            <w:r>
              <w:rPr>
                <w:rFonts w:hint="eastAsia" w:ascii="宋体" w:hAnsi="宋体" w:eastAsia="宋体" w:cs="宋体"/>
                <w:i w:val="0"/>
                <w:iCs w:val="0"/>
                <w:color w:val="000000"/>
                <w:sz w:val="21"/>
                <w:szCs w:val="21"/>
                <w:highlight w:val="none"/>
                <w:u w:val="none"/>
              </w:rPr>
            </w:r>
            <w:r/>
          </w:p>
        </w:tc>
        <w:tc>
          <w:tcPr>
            <w:shd w:val="clear" w:color="ffffff" w:fill="ffffff"/>
            <w:tcW w:w="549" w:type="dxa"/>
            <w:vAlign w:val="center"/>
            <w:textDirection w:val="lrTb"/>
            <w:noWrap w:val="false"/>
          </w:tcPr>
          <w:p>
            <w:pPr>
              <w:pStyle w:val="801"/>
              <w:jc w:val="center"/>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件</w:t>
            </w:r>
            <w:r>
              <w:rPr>
                <w:rFonts w:hint="eastAsia" w:ascii="宋体" w:hAnsi="宋体" w:eastAsia="宋体" w:cs="宋体"/>
                <w:i w:val="0"/>
                <w:iCs w:val="0"/>
                <w:color w:val="000000"/>
                <w:sz w:val="21"/>
                <w:szCs w:val="21"/>
                <w:highlight w:val="none"/>
                <w:u w:val="none"/>
              </w:rPr>
            </w:r>
            <w:r/>
          </w:p>
        </w:tc>
        <w:tc>
          <w:tcPr>
            <w:shd w:val="clear" w:color="ffffff" w:fill="ffffff"/>
            <w:tcW w:w="840" w:type="dxa"/>
            <w:vAlign w:val="center"/>
            <w:textDirection w:val="lrTb"/>
            <w:noWrap w:val="false"/>
          </w:tcPr>
          <w:p>
            <w:pPr>
              <w:pStyle w:val="801"/>
              <w:jc w:val="right"/>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rPr>
                <w:rFonts w:hint="eastAsia" w:ascii="宋体" w:hAnsi="宋体" w:eastAsia="宋体" w:cs="宋体"/>
                <w:i w:val="0"/>
                <w:iCs w:val="0"/>
                <w:color w:val="000000"/>
                <w:sz w:val="21"/>
                <w:szCs w:val="21"/>
                <w:highlight w:val="none"/>
                <w:u w:val="none"/>
              </w:rPr>
            </w:r>
            <w:r/>
          </w:p>
        </w:tc>
      </w:tr>
      <w:tr>
        <w:trPr>
          <w:trHeight w:val="723"/>
        </w:trPr>
        <w:tc>
          <w:tcPr>
            <w:shd w:val="clear" w:color="ffffff" w:fill="ffffff"/>
            <w:tcW w:w="430" w:type="dxa"/>
            <w:vAlign w:val="center"/>
            <w:textDirection w:val="lrTb"/>
            <w:noWrap w:val="false"/>
          </w:tcPr>
          <w:p>
            <w:pPr>
              <w:pStyle w:val="801"/>
              <w:jc w:val="center"/>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rPr>
                <w:rFonts w:hint="eastAsia" w:ascii="宋体" w:hAnsi="宋体" w:eastAsia="宋体" w:cs="宋体"/>
                <w:i w:val="0"/>
                <w:iCs w:val="0"/>
                <w:color w:val="000000"/>
                <w:sz w:val="21"/>
                <w:szCs w:val="21"/>
                <w:highlight w:val="none"/>
                <w:u w:val="none"/>
              </w:rPr>
            </w:r>
            <w:r/>
          </w:p>
        </w:tc>
        <w:tc>
          <w:tcPr>
            <w:shd w:val="clear" w:color="ffffff" w:fill="ffffff"/>
            <w:tcW w:w="1160" w:type="dxa"/>
            <w:vAlign w:val="center"/>
            <w:textDirection w:val="lrTb"/>
            <w:noWrap w:val="false"/>
          </w:tcPr>
          <w:p>
            <w:pPr>
              <w:pStyle w:val="801"/>
              <w:jc w:val="left"/>
              <w:keepLines w:val="0"/>
              <w:keepNext w:val="0"/>
              <w:pageBreakBefore w:val="0"/>
              <w:spacing w:line="276" w:lineRule="auto"/>
              <w:widowControl w:val="off"/>
              <w:rPr>
                <w:rFonts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空心板梁钢筋</w:t>
            </w:r>
            <w:r>
              <w:rPr>
                <w:rFonts w:hint="eastAsia" w:ascii="宋体" w:hAnsi="宋体" w:eastAsia="宋体" w:cs="宋体"/>
                <w:i w:val="0"/>
                <w:iCs w:val="0"/>
                <w:color w:val="000000"/>
                <w:sz w:val="21"/>
                <w:szCs w:val="21"/>
                <w:highlight w:val="none"/>
                <w:u w:val="none"/>
                <w:lang w:val="en-US" w:eastAsia="zh-CN" w:bidi="ar"/>
              </w:rPr>
              <w:t xml:space="preserve">01</w:t>
            </w:r>
            <w:r>
              <w:rPr>
                <w:rFonts w:ascii="宋体" w:hAnsi="宋体" w:eastAsia="宋体" w:cs="宋体"/>
                <w:i w:val="0"/>
                <w:iCs w:val="0"/>
                <w:color w:val="000000"/>
                <w:sz w:val="21"/>
                <w:szCs w:val="21"/>
                <w:highlight w:val="none"/>
                <w:u w:val="none"/>
                <w:lang w:val="en-US"/>
              </w:rPr>
            </w:r>
            <w:r/>
          </w:p>
        </w:tc>
        <w:tc>
          <w:tcPr>
            <w:shd w:val="clear" w:color="ffffff" w:fill="ffffff"/>
            <w:tcW w:w="6120" w:type="dxa"/>
            <w:vAlign w:val="center"/>
            <w:textDirection w:val="lrTb"/>
            <w:noWrap w:val="false"/>
          </w:tcPr>
          <w:p>
            <w:pPr>
              <w:pStyle w:val="801"/>
              <w:jc w:val="left"/>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1.钢筋种类:16、25HRB400。</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2.施工部位:空心板梁钢筋。</w:t>
            </w:r>
            <w:r>
              <w:rPr>
                <w:rFonts w:hint="eastAsia" w:ascii="宋体" w:hAnsi="宋体" w:eastAsia="宋体" w:cs="宋体"/>
                <w:i w:val="0"/>
                <w:iCs w:val="0"/>
                <w:color w:val="000000"/>
                <w:sz w:val="21"/>
                <w:szCs w:val="21"/>
                <w:highlight w:val="none"/>
                <w:u w:val="none"/>
              </w:rPr>
            </w:r>
            <w:r/>
          </w:p>
        </w:tc>
        <w:tc>
          <w:tcPr>
            <w:shd w:val="clear" w:color="ffffff" w:fill="ffffff"/>
            <w:tcW w:w="549" w:type="dxa"/>
            <w:vAlign w:val="center"/>
            <w:textDirection w:val="lrTb"/>
            <w:noWrap w:val="false"/>
          </w:tcPr>
          <w:p>
            <w:pPr>
              <w:pStyle w:val="801"/>
              <w:jc w:val="center"/>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t</w:t>
            </w:r>
            <w:r>
              <w:rPr>
                <w:rFonts w:hint="eastAsia" w:ascii="宋体" w:hAnsi="宋体" w:eastAsia="宋体" w:cs="宋体"/>
                <w:i w:val="0"/>
                <w:iCs w:val="0"/>
                <w:color w:val="000000"/>
                <w:sz w:val="21"/>
                <w:szCs w:val="21"/>
                <w:highlight w:val="none"/>
                <w:u w:val="none"/>
              </w:rPr>
            </w:r>
            <w:r/>
          </w:p>
        </w:tc>
        <w:tc>
          <w:tcPr>
            <w:shd w:val="clear" w:color="ffffff" w:fill="ffffff"/>
            <w:tcW w:w="840" w:type="dxa"/>
            <w:vAlign w:val="center"/>
            <w:textDirection w:val="lrTb"/>
            <w:noWrap w:val="false"/>
          </w:tcPr>
          <w:p>
            <w:pPr>
              <w:pStyle w:val="801"/>
              <w:jc w:val="right"/>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18.11</w:t>
            </w:r>
            <w:r>
              <w:rPr>
                <w:rFonts w:hint="eastAsia" w:ascii="宋体" w:hAnsi="宋体" w:eastAsia="宋体" w:cs="宋体"/>
                <w:i w:val="0"/>
                <w:iCs w:val="0"/>
                <w:color w:val="000000"/>
                <w:sz w:val="21"/>
                <w:szCs w:val="21"/>
                <w:highlight w:val="none"/>
                <w:u w:val="none"/>
              </w:rPr>
            </w:r>
            <w:r/>
          </w:p>
        </w:tc>
      </w:tr>
      <w:tr>
        <w:trPr>
          <w:trHeight w:val="750"/>
        </w:trPr>
        <w:tc>
          <w:tcPr>
            <w:shd w:val="clear" w:color="ffffff" w:fill="ffffff"/>
            <w:tcW w:w="430" w:type="dxa"/>
            <w:vAlign w:val="center"/>
            <w:textDirection w:val="lrTb"/>
            <w:noWrap w:val="false"/>
          </w:tcPr>
          <w:p>
            <w:pPr>
              <w:pStyle w:val="801"/>
              <w:jc w:val="center"/>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31</w:t>
            </w:r>
            <w:r>
              <w:rPr>
                <w:rFonts w:hint="eastAsia" w:ascii="宋体" w:hAnsi="宋体" w:eastAsia="宋体" w:cs="宋体"/>
                <w:i w:val="0"/>
                <w:iCs w:val="0"/>
                <w:color w:val="000000"/>
                <w:sz w:val="21"/>
                <w:szCs w:val="21"/>
                <w:highlight w:val="none"/>
                <w:u w:val="none"/>
              </w:rPr>
            </w:r>
            <w:r/>
          </w:p>
        </w:tc>
        <w:tc>
          <w:tcPr>
            <w:shd w:val="clear" w:color="ffffff" w:fill="ffffff"/>
            <w:tcW w:w="1160" w:type="dxa"/>
            <w:vAlign w:val="center"/>
            <w:textDirection w:val="lrTb"/>
            <w:noWrap w:val="false"/>
          </w:tcPr>
          <w:p>
            <w:pPr>
              <w:pStyle w:val="801"/>
              <w:jc w:val="left"/>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空心板梁钢筋</w:t>
            </w:r>
            <w:r>
              <w:rPr>
                <w:rFonts w:hint="eastAsia" w:ascii="宋体" w:hAnsi="宋体" w:eastAsia="宋体" w:cs="宋体"/>
                <w:i w:val="0"/>
                <w:iCs w:val="0"/>
                <w:color w:val="000000"/>
                <w:sz w:val="21"/>
                <w:szCs w:val="21"/>
                <w:highlight w:val="none"/>
                <w:u w:val="none"/>
                <w:lang w:val="en-US" w:eastAsia="zh-CN" w:bidi="ar"/>
              </w:rPr>
              <w:t xml:space="preserve">02</w:t>
            </w:r>
            <w:r>
              <w:rPr>
                <w:rFonts w:hint="eastAsia" w:ascii="宋体" w:hAnsi="宋体" w:eastAsia="宋体" w:cs="宋体"/>
                <w:i w:val="0"/>
                <w:iCs w:val="0"/>
                <w:color w:val="000000"/>
                <w:sz w:val="21"/>
                <w:szCs w:val="21"/>
                <w:highlight w:val="none"/>
                <w:u w:val="none"/>
              </w:rPr>
            </w:r>
            <w:r/>
          </w:p>
        </w:tc>
        <w:tc>
          <w:tcPr>
            <w:shd w:val="clear" w:color="ffffff" w:fill="ffffff"/>
            <w:tcW w:w="6120" w:type="dxa"/>
            <w:vAlign w:val="center"/>
            <w:textDirection w:val="lrTb"/>
            <w:noWrap w:val="false"/>
          </w:tcPr>
          <w:p>
            <w:pPr>
              <w:pStyle w:val="801"/>
              <w:jc w:val="left"/>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1.钢筋种类:Φ6.5、Φ10、Φ12HPB300。</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2.施工部位:空心板梁钢筋。</w:t>
            </w:r>
            <w:r>
              <w:rPr>
                <w:rFonts w:hint="eastAsia" w:ascii="宋体" w:hAnsi="宋体" w:eastAsia="宋体" w:cs="宋体"/>
                <w:i w:val="0"/>
                <w:iCs w:val="0"/>
                <w:color w:val="000000"/>
                <w:sz w:val="21"/>
                <w:szCs w:val="21"/>
                <w:highlight w:val="none"/>
                <w:u w:val="none"/>
              </w:rPr>
            </w:r>
            <w:r/>
          </w:p>
        </w:tc>
        <w:tc>
          <w:tcPr>
            <w:shd w:val="clear" w:color="ffffff" w:fill="ffffff"/>
            <w:tcW w:w="549" w:type="dxa"/>
            <w:vAlign w:val="center"/>
            <w:textDirection w:val="lrTb"/>
            <w:noWrap w:val="false"/>
          </w:tcPr>
          <w:p>
            <w:pPr>
              <w:pStyle w:val="801"/>
              <w:jc w:val="center"/>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t</w:t>
            </w:r>
            <w:r>
              <w:rPr>
                <w:rFonts w:hint="eastAsia" w:ascii="宋体" w:hAnsi="宋体" w:eastAsia="宋体" w:cs="宋体"/>
                <w:i w:val="0"/>
                <w:iCs w:val="0"/>
                <w:color w:val="000000"/>
                <w:sz w:val="21"/>
                <w:szCs w:val="21"/>
                <w:highlight w:val="none"/>
                <w:u w:val="none"/>
              </w:rPr>
            </w:r>
            <w:r/>
          </w:p>
        </w:tc>
        <w:tc>
          <w:tcPr>
            <w:shd w:val="clear" w:color="ffffff" w:fill="ffffff"/>
            <w:tcW w:w="840" w:type="dxa"/>
            <w:vAlign w:val="center"/>
            <w:textDirection w:val="lrTb"/>
            <w:noWrap w:val="false"/>
          </w:tcPr>
          <w:p>
            <w:pPr>
              <w:pStyle w:val="801"/>
              <w:jc w:val="right"/>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7.12</w:t>
            </w:r>
            <w:r>
              <w:rPr>
                <w:rFonts w:hint="eastAsia" w:ascii="宋体" w:hAnsi="宋体" w:eastAsia="宋体" w:cs="宋体"/>
                <w:i w:val="0"/>
                <w:iCs w:val="0"/>
                <w:color w:val="000000"/>
                <w:sz w:val="21"/>
                <w:szCs w:val="21"/>
                <w:highlight w:val="none"/>
                <w:u w:val="none"/>
              </w:rPr>
            </w:r>
            <w:r/>
          </w:p>
        </w:tc>
      </w:tr>
      <w:tr>
        <w:trPr>
          <w:trHeight w:val="777"/>
        </w:trPr>
        <w:tc>
          <w:tcPr>
            <w:shd w:val="clear" w:color="ffffff" w:fill="ffffff"/>
            <w:tcW w:w="430" w:type="dxa"/>
            <w:vAlign w:val="center"/>
            <w:textDirection w:val="lrTb"/>
            <w:noWrap w:val="false"/>
          </w:tcPr>
          <w:p>
            <w:pPr>
              <w:pStyle w:val="801"/>
              <w:jc w:val="center"/>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w:t>
            </w:r>
            <w:r>
              <w:rPr>
                <w:rFonts w:hint="eastAsia" w:ascii="宋体" w:hAnsi="宋体" w:eastAsia="宋体" w:cs="宋体"/>
                <w:i w:val="0"/>
                <w:iCs w:val="0"/>
                <w:color w:val="000000"/>
                <w:sz w:val="21"/>
                <w:szCs w:val="21"/>
                <w:highlight w:val="none"/>
                <w:u w:val="none"/>
              </w:rPr>
            </w:r>
            <w:r/>
          </w:p>
        </w:tc>
        <w:tc>
          <w:tcPr>
            <w:shd w:val="clear" w:color="ffffff" w:fill="ffffff"/>
            <w:tcW w:w="1160" w:type="dxa"/>
            <w:vAlign w:val="center"/>
            <w:textDirection w:val="lrTb"/>
            <w:noWrap w:val="false"/>
          </w:tcPr>
          <w:p>
            <w:pPr>
              <w:pStyle w:val="801"/>
              <w:jc w:val="left"/>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台帽钢筋</w:t>
            </w:r>
            <w:r>
              <w:rPr>
                <w:rFonts w:hint="eastAsia" w:ascii="宋体" w:hAnsi="宋体" w:eastAsia="宋体" w:cs="宋体"/>
                <w:i w:val="0"/>
                <w:iCs w:val="0"/>
                <w:color w:val="000000"/>
                <w:sz w:val="21"/>
                <w:szCs w:val="21"/>
                <w:highlight w:val="none"/>
                <w:u w:val="none"/>
              </w:rPr>
            </w:r>
            <w:r/>
          </w:p>
        </w:tc>
        <w:tc>
          <w:tcPr>
            <w:shd w:val="clear" w:color="ffffff" w:fill="ffffff"/>
            <w:tcW w:w="6120" w:type="dxa"/>
            <w:vAlign w:val="center"/>
            <w:textDirection w:val="lrTb"/>
            <w:noWrap w:val="false"/>
          </w:tcPr>
          <w:p>
            <w:pPr>
              <w:pStyle w:val="801"/>
              <w:jc w:val="left"/>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1.钢筋种类:12、16HRB400。</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2.施工部位:台帽钢筋。</w:t>
            </w:r>
            <w:r>
              <w:rPr>
                <w:rFonts w:hint="eastAsia" w:ascii="宋体" w:hAnsi="宋体" w:eastAsia="宋体" w:cs="宋体"/>
                <w:i w:val="0"/>
                <w:iCs w:val="0"/>
                <w:color w:val="000000"/>
                <w:sz w:val="21"/>
                <w:szCs w:val="21"/>
                <w:highlight w:val="none"/>
                <w:u w:val="none"/>
              </w:rPr>
            </w:r>
            <w:r/>
          </w:p>
        </w:tc>
        <w:tc>
          <w:tcPr>
            <w:shd w:val="clear" w:color="ffffff" w:fill="ffffff"/>
            <w:tcW w:w="549" w:type="dxa"/>
            <w:vAlign w:val="center"/>
            <w:textDirection w:val="lrTb"/>
            <w:noWrap w:val="false"/>
          </w:tcPr>
          <w:p>
            <w:pPr>
              <w:pStyle w:val="801"/>
              <w:jc w:val="center"/>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t</w:t>
            </w:r>
            <w:r>
              <w:rPr>
                <w:rFonts w:hint="eastAsia" w:ascii="宋体" w:hAnsi="宋体" w:eastAsia="宋体" w:cs="宋体"/>
                <w:i w:val="0"/>
                <w:iCs w:val="0"/>
                <w:color w:val="000000"/>
                <w:sz w:val="21"/>
                <w:szCs w:val="21"/>
                <w:highlight w:val="none"/>
                <w:u w:val="none"/>
              </w:rPr>
            </w:r>
            <w:r/>
          </w:p>
        </w:tc>
        <w:tc>
          <w:tcPr>
            <w:shd w:val="clear" w:color="ffffff" w:fill="ffffff"/>
            <w:tcW w:w="840" w:type="dxa"/>
            <w:vAlign w:val="center"/>
            <w:textDirection w:val="lrTb"/>
            <w:noWrap w:val="false"/>
          </w:tcPr>
          <w:p>
            <w:pPr>
              <w:pStyle w:val="801"/>
              <w:jc w:val="right"/>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1.21</w:t>
            </w:r>
            <w:r>
              <w:rPr>
                <w:rFonts w:hint="eastAsia" w:ascii="宋体" w:hAnsi="宋体" w:eastAsia="宋体" w:cs="宋体"/>
                <w:i w:val="0"/>
                <w:iCs w:val="0"/>
                <w:color w:val="000000"/>
                <w:sz w:val="21"/>
                <w:szCs w:val="21"/>
                <w:highlight w:val="none"/>
                <w:u w:val="none"/>
              </w:rPr>
            </w:r>
            <w:r/>
          </w:p>
        </w:tc>
      </w:tr>
      <w:tr>
        <w:trPr>
          <w:trHeight w:val="2123"/>
        </w:trPr>
        <w:tc>
          <w:tcPr>
            <w:shd w:val="clear" w:color="ffffff" w:fill="ffffff"/>
            <w:tcW w:w="430" w:type="dxa"/>
            <w:vAlign w:val="center"/>
            <w:textDirection w:val="lrTb"/>
            <w:noWrap w:val="false"/>
          </w:tcPr>
          <w:p>
            <w:pPr>
              <w:pStyle w:val="801"/>
              <w:jc w:val="center"/>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33</w:t>
            </w:r>
            <w:r>
              <w:rPr>
                <w:rFonts w:hint="eastAsia" w:ascii="宋体" w:hAnsi="宋体" w:eastAsia="宋体" w:cs="宋体"/>
                <w:i w:val="0"/>
                <w:iCs w:val="0"/>
                <w:color w:val="000000"/>
                <w:sz w:val="21"/>
                <w:szCs w:val="21"/>
                <w:highlight w:val="none"/>
                <w:u w:val="none"/>
              </w:rPr>
            </w:r>
            <w:r/>
          </w:p>
        </w:tc>
        <w:tc>
          <w:tcPr>
            <w:shd w:val="clear" w:color="ffffff" w:fill="ffffff"/>
            <w:tcW w:w="1160" w:type="dxa"/>
            <w:vAlign w:val="center"/>
            <w:textDirection w:val="lrTb"/>
            <w:noWrap w:val="false"/>
          </w:tcPr>
          <w:p>
            <w:pPr>
              <w:pStyle w:val="801"/>
              <w:jc w:val="left"/>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爬梯</w:t>
            </w:r>
            <w:r>
              <w:rPr>
                <w:rFonts w:hint="eastAsia" w:ascii="宋体" w:hAnsi="宋体" w:eastAsia="宋体" w:cs="宋体"/>
                <w:i w:val="0"/>
                <w:iCs w:val="0"/>
                <w:color w:val="000000"/>
                <w:sz w:val="21"/>
                <w:szCs w:val="21"/>
                <w:highlight w:val="none"/>
                <w:u w:val="none"/>
              </w:rPr>
            </w:r>
            <w:r/>
          </w:p>
        </w:tc>
        <w:tc>
          <w:tcPr>
            <w:shd w:val="clear" w:color="ffffff" w:fill="ffffff"/>
            <w:tcW w:w="6120" w:type="dxa"/>
            <w:vAlign w:val="center"/>
            <w:textDirection w:val="lrTb"/>
            <w:noWrap w:val="false"/>
          </w:tcPr>
          <w:p>
            <w:pPr>
              <w:pStyle w:val="801"/>
              <w:jc w:val="left"/>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1.项目内容:6座爬梯制作安装。</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2.材质:Q235B。</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3.除锈:除锈等级Sa2.5，除锈方法为喷砂除锈。</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4.涂装:底漆：环氧富锌漆75μm；中间漆：环氧云母氧化铁 200μm；面漆：改性耐磨环氧涂料 125μm；防腐漆膜总厚度≥400μm。</w:t>
            </w:r>
            <w:r>
              <w:rPr>
                <w:rFonts w:hint="eastAsia" w:ascii="宋体" w:hAnsi="宋体" w:eastAsia="宋体" w:cs="宋体"/>
                <w:i w:val="0"/>
                <w:iCs w:val="0"/>
                <w:color w:val="000000"/>
                <w:sz w:val="21"/>
                <w:szCs w:val="21"/>
                <w:highlight w:val="none"/>
                <w:u w:val="none"/>
              </w:rPr>
            </w:r>
            <w:r/>
          </w:p>
        </w:tc>
        <w:tc>
          <w:tcPr>
            <w:shd w:val="clear" w:color="ffffff" w:fill="ffffff"/>
            <w:tcW w:w="549" w:type="dxa"/>
            <w:vAlign w:val="center"/>
            <w:textDirection w:val="lrTb"/>
            <w:noWrap w:val="false"/>
          </w:tcPr>
          <w:p>
            <w:pPr>
              <w:pStyle w:val="801"/>
              <w:jc w:val="center"/>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t</w:t>
            </w:r>
            <w:r>
              <w:rPr>
                <w:rFonts w:hint="eastAsia" w:ascii="宋体" w:hAnsi="宋体" w:eastAsia="宋体" w:cs="宋体"/>
                <w:i w:val="0"/>
                <w:iCs w:val="0"/>
                <w:color w:val="000000"/>
                <w:sz w:val="21"/>
                <w:szCs w:val="21"/>
                <w:highlight w:val="none"/>
                <w:u w:val="none"/>
              </w:rPr>
            </w:r>
            <w:r/>
          </w:p>
        </w:tc>
        <w:tc>
          <w:tcPr>
            <w:shd w:val="clear" w:color="ffffff" w:fill="ffffff"/>
            <w:tcW w:w="840" w:type="dxa"/>
            <w:vAlign w:val="center"/>
            <w:textDirection w:val="lrTb"/>
            <w:noWrap w:val="false"/>
          </w:tcPr>
          <w:p>
            <w:pPr>
              <w:pStyle w:val="801"/>
              <w:jc w:val="right"/>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2.92</w:t>
            </w:r>
            <w:r>
              <w:rPr>
                <w:rFonts w:hint="eastAsia" w:ascii="宋体" w:hAnsi="宋体" w:eastAsia="宋体" w:cs="宋体"/>
                <w:i w:val="0"/>
                <w:iCs w:val="0"/>
                <w:color w:val="000000"/>
                <w:sz w:val="21"/>
                <w:szCs w:val="21"/>
                <w:highlight w:val="none"/>
                <w:u w:val="none"/>
              </w:rPr>
            </w:r>
            <w:r/>
          </w:p>
        </w:tc>
      </w:tr>
      <w:tr>
        <w:trPr>
          <w:trHeight w:val="1989"/>
        </w:trPr>
        <w:tc>
          <w:tcPr>
            <w:shd w:val="clear" w:color="ffffff" w:fill="ffffff"/>
            <w:tcW w:w="430" w:type="dxa"/>
            <w:vAlign w:val="center"/>
            <w:textDirection w:val="lrTb"/>
            <w:noWrap w:val="false"/>
          </w:tcPr>
          <w:p>
            <w:pPr>
              <w:pStyle w:val="801"/>
              <w:jc w:val="center"/>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34</w:t>
            </w:r>
            <w:r>
              <w:rPr>
                <w:rFonts w:hint="eastAsia" w:ascii="宋体" w:hAnsi="宋体" w:eastAsia="宋体" w:cs="宋体"/>
                <w:i w:val="0"/>
                <w:iCs w:val="0"/>
                <w:color w:val="000000"/>
                <w:sz w:val="21"/>
                <w:szCs w:val="21"/>
                <w:highlight w:val="none"/>
                <w:u w:val="none"/>
              </w:rPr>
            </w:r>
            <w:r/>
          </w:p>
        </w:tc>
        <w:tc>
          <w:tcPr>
            <w:shd w:val="clear" w:color="ffffff" w:fill="ffffff"/>
            <w:tcW w:w="1160" w:type="dxa"/>
            <w:vAlign w:val="center"/>
            <w:textDirection w:val="lrTb"/>
            <w:noWrap w:val="false"/>
          </w:tcPr>
          <w:p>
            <w:pPr>
              <w:pStyle w:val="801"/>
              <w:jc w:val="left"/>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栏杆</w:t>
            </w:r>
            <w:r>
              <w:rPr>
                <w:rFonts w:hint="eastAsia" w:ascii="宋体" w:hAnsi="宋体" w:eastAsia="宋体" w:cs="宋体"/>
                <w:i w:val="0"/>
                <w:iCs w:val="0"/>
                <w:color w:val="000000"/>
                <w:sz w:val="21"/>
                <w:szCs w:val="21"/>
                <w:highlight w:val="none"/>
                <w:u w:val="none"/>
              </w:rPr>
            </w:r>
            <w:r/>
          </w:p>
        </w:tc>
        <w:tc>
          <w:tcPr>
            <w:shd w:val="clear" w:color="ffffff" w:fill="ffffff"/>
            <w:tcW w:w="6120" w:type="dxa"/>
            <w:vAlign w:val="center"/>
            <w:textDirection w:val="lrTb"/>
            <w:noWrap w:val="false"/>
          </w:tcPr>
          <w:p>
            <w:pPr>
              <w:pStyle w:val="801"/>
              <w:jc w:val="left"/>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1.栏杆材料种类、规格:304不锈钢栏杆（含预埋件），Φ48*2mm不锈钢管扶手及立杆，栏杆高度≥1200mm，栏杆扶手需设置防攀滑措施。</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2.栏杆颜色:色彩实施前报设计和建设单位确认。</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3.其他说明:本项包括原钢管栏杆拆除、处置及拆除部位修补等所有费用，具体不锈钢栏杆做法详见设计图纸。</w:t>
            </w:r>
            <w:r>
              <w:rPr>
                <w:rFonts w:hint="eastAsia" w:ascii="宋体" w:hAnsi="宋体" w:eastAsia="宋体" w:cs="宋体"/>
                <w:i w:val="0"/>
                <w:iCs w:val="0"/>
                <w:color w:val="000000"/>
                <w:sz w:val="21"/>
                <w:szCs w:val="21"/>
                <w:highlight w:val="none"/>
                <w:u w:val="none"/>
              </w:rPr>
            </w:r>
            <w:r/>
          </w:p>
        </w:tc>
        <w:tc>
          <w:tcPr>
            <w:shd w:val="clear" w:color="ffffff" w:fill="ffffff"/>
            <w:tcW w:w="549" w:type="dxa"/>
            <w:vAlign w:val="center"/>
            <w:textDirection w:val="lrTb"/>
            <w:noWrap w:val="false"/>
          </w:tcPr>
          <w:p>
            <w:pPr>
              <w:pStyle w:val="801"/>
              <w:jc w:val="center"/>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rPr>
                <w:rFonts w:hint="eastAsia" w:ascii="宋体" w:hAnsi="宋体" w:eastAsia="宋体" w:cs="宋体"/>
                <w:i w:val="0"/>
                <w:iCs w:val="0"/>
                <w:color w:val="000000"/>
                <w:sz w:val="21"/>
                <w:szCs w:val="21"/>
                <w:highlight w:val="none"/>
                <w:u w:val="none"/>
              </w:rPr>
            </w:r>
            <w:r/>
          </w:p>
        </w:tc>
        <w:tc>
          <w:tcPr>
            <w:shd w:val="clear" w:color="ffffff" w:fill="ffffff"/>
            <w:tcW w:w="840" w:type="dxa"/>
            <w:vAlign w:val="center"/>
            <w:textDirection w:val="lrTb"/>
            <w:noWrap w:val="false"/>
          </w:tcPr>
          <w:p>
            <w:pPr>
              <w:pStyle w:val="801"/>
              <w:jc w:val="right"/>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350</w:t>
            </w:r>
            <w:r>
              <w:rPr>
                <w:rFonts w:hint="eastAsia" w:ascii="宋体" w:hAnsi="宋体" w:eastAsia="宋体" w:cs="宋体"/>
                <w:i w:val="0"/>
                <w:iCs w:val="0"/>
                <w:color w:val="000000"/>
                <w:sz w:val="21"/>
                <w:szCs w:val="21"/>
                <w:highlight w:val="none"/>
                <w:u w:val="none"/>
              </w:rPr>
            </w:r>
            <w:r/>
          </w:p>
        </w:tc>
      </w:tr>
      <w:tr>
        <w:trPr>
          <w:trHeight w:val="1428"/>
        </w:trPr>
        <w:tc>
          <w:tcPr>
            <w:shd w:val="clear" w:color="ffffff" w:fill="ffffff"/>
            <w:tcW w:w="430" w:type="dxa"/>
            <w:vAlign w:val="center"/>
            <w:textDirection w:val="lrTb"/>
            <w:noWrap w:val="false"/>
          </w:tcPr>
          <w:p>
            <w:pPr>
              <w:pStyle w:val="801"/>
              <w:jc w:val="center"/>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w:t>
            </w:r>
            <w:r>
              <w:rPr>
                <w:rFonts w:hint="eastAsia" w:ascii="宋体" w:hAnsi="宋体" w:eastAsia="宋体" w:cs="宋体"/>
                <w:i w:val="0"/>
                <w:iCs w:val="0"/>
                <w:color w:val="000000"/>
                <w:sz w:val="21"/>
                <w:szCs w:val="21"/>
                <w:highlight w:val="none"/>
                <w:u w:val="none"/>
              </w:rPr>
            </w:r>
            <w:r/>
          </w:p>
        </w:tc>
        <w:tc>
          <w:tcPr>
            <w:shd w:val="clear" w:color="ffffff" w:fill="ffffff"/>
            <w:tcW w:w="1160" w:type="dxa"/>
            <w:vAlign w:val="center"/>
            <w:textDirection w:val="lrTb"/>
            <w:noWrap w:val="false"/>
          </w:tcPr>
          <w:p>
            <w:pPr>
              <w:pStyle w:val="801"/>
              <w:jc w:val="left"/>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台帽板梁角钢、支座埋件安装</w:t>
            </w:r>
            <w:r>
              <w:rPr>
                <w:rFonts w:hint="eastAsia" w:ascii="宋体" w:hAnsi="宋体" w:eastAsia="宋体" w:cs="宋体"/>
                <w:i w:val="0"/>
                <w:iCs w:val="0"/>
                <w:color w:val="000000"/>
                <w:sz w:val="21"/>
                <w:szCs w:val="21"/>
                <w:highlight w:val="none"/>
                <w:u w:val="none"/>
              </w:rPr>
            </w:r>
            <w:r/>
          </w:p>
        </w:tc>
        <w:tc>
          <w:tcPr>
            <w:shd w:val="clear" w:color="ffffff" w:fill="ffffff"/>
            <w:tcW w:w="6120" w:type="dxa"/>
            <w:vAlign w:val="center"/>
            <w:textDirection w:val="lrTb"/>
            <w:noWrap w:val="false"/>
          </w:tcPr>
          <w:p>
            <w:pPr>
              <w:pStyle w:val="801"/>
              <w:jc w:val="left"/>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1.钢材种类:Q235B。</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2.施工部位：台帽板梁、角钢、支座埋件、电缆桥架支座、制作安装。</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3.防腐:热镀锌防腐.</w:t>
            </w:r>
            <w:r>
              <w:rPr>
                <w:rFonts w:hint="eastAsia" w:ascii="宋体" w:hAnsi="宋体" w:eastAsia="宋体" w:cs="宋体"/>
                <w:i w:val="0"/>
                <w:iCs w:val="0"/>
                <w:color w:val="000000"/>
                <w:sz w:val="21"/>
                <w:szCs w:val="21"/>
                <w:highlight w:val="none"/>
                <w:u w:val="none"/>
              </w:rPr>
            </w:r>
            <w:r/>
          </w:p>
        </w:tc>
        <w:tc>
          <w:tcPr>
            <w:shd w:val="clear" w:color="ffffff" w:fill="ffffff"/>
            <w:tcW w:w="549" w:type="dxa"/>
            <w:vAlign w:val="center"/>
            <w:textDirection w:val="lrTb"/>
            <w:noWrap w:val="false"/>
          </w:tcPr>
          <w:p>
            <w:pPr>
              <w:pStyle w:val="801"/>
              <w:jc w:val="center"/>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t</w:t>
            </w:r>
            <w:r>
              <w:rPr>
                <w:rFonts w:hint="eastAsia" w:ascii="宋体" w:hAnsi="宋体" w:eastAsia="宋体" w:cs="宋体"/>
                <w:i w:val="0"/>
                <w:iCs w:val="0"/>
                <w:color w:val="000000"/>
                <w:sz w:val="21"/>
                <w:szCs w:val="21"/>
                <w:highlight w:val="none"/>
                <w:u w:val="none"/>
              </w:rPr>
            </w:r>
            <w:r/>
          </w:p>
        </w:tc>
        <w:tc>
          <w:tcPr>
            <w:shd w:val="clear" w:color="ffffff" w:fill="ffffff"/>
            <w:tcW w:w="840" w:type="dxa"/>
            <w:vAlign w:val="center"/>
            <w:textDirection w:val="lrTb"/>
            <w:noWrap w:val="false"/>
          </w:tcPr>
          <w:p>
            <w:pPr>
              <w:pStyle w:val="801"/>
              <w:jc w:val="right"/>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3.25</w:t>
            </w:r>
            <w:r>
              <w:rPr>
                <w:rFonts w:hint="eastAsia" w:ascii="宋体" w:hAnsi="宋体" w:eastAsia="宋体" w:cs="宋体"/>
                <w:i w:val="0"/>
                <w:iCs w:val="0"/>
                <w:color w:val="000000"/>
                <w:sz w:val="21"/>
                <w:szCs w:val="21"/>
                <w:highlight w:val="none"/>
                <w:u w:val="none"/>
              </w:rPr>
            </w:r>
            <w:r/>
          </w:p>
        </w:tc>
      </w:tr>
      <w:tr>
        <w:trPr>
          <w:trHeight w:val="1393"/>
        </w:trPr>
        <w:tc>
          <w:tcPr>
            <w:shd w:val="clear" w:color="ffffff" w:fill="ffffff"/>
            <w:tcW w:w="430" w:type="dxa"/>
            <w:vAlign w:val="center"/>
            <w:textDirection w:val="lrTb"/>
            <w:noWrap w:val="false"/>
          </w:tcPr>
          <w:p>
            <w:pPr>
              <w:pStyle w:val="801"/>
              <w:jc w:val="center"/>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36</w:t>
            </w:r>
            <w:r>
              <w:rPr>
                <w:rFonts w:hint="eastAsia" w:ascii="宋体" w:hAnsi="宋体" w:eastAsia="宋体" w:cs="宋体"/>
                <w:i w:val="0"/>
                <w:iCs w:val="0"/>
                <w:color w:val="000000"/>
                <w:sz w:val="21"/>
                <w:szCs w:val="21"/>
                <w:highlight w:val="none"/>
                <w:u w:val="none"/>
              </w:rPr>
            </w:r>
            <w:r/>
          </w:p>
        </w:tc>
        <w:tc>
          <w:tcPr>
            <w:shd w:val="clear" w:color="ffffff" w:fill="ffffff"/>
            <w:tcW w:w="1160" w:type="dxa"/>
            <w:vAlign w:val="center"/>
            <w:textDirection w:val="lrTb"/>
            <w:noWrap w:val="false"/>
          </w:tcPr>
          <w:p>
            <w:pPr>
              <w:pStyle w:val="801"/>
              <w:jc w:val="center"/>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导航墙压顶路面硬化</w:t>
            </w:r>
            <w:r>
              <w:rPr>
                <w:rFonts w:hint="eastAsia" w:ascii="宋体" w:hAnsi="宋体" w:eastAsia="宋体" w:cs="宋体"/>
                <w:i w:val="0"/>
                <w:iCs w:val="0"/>
                <w:color w:val="000000"/>
                <w:sz w:val="21"/>
                <w:szCs w:val="21"/>
                <w:highlight w:val="none"/>
                <w:u w:val="none"/>
              </w:rPr>
            </w:r>
            <w:r/>
          </w:p>
        </w:tc>
        <w:tc>
          <w:tcPr>
            <w:shd w:val="clear" w:color="ffffff" w:fill="ffffff"/>
            <w:tcW w:w="6120" w:type="dxa"/>
            <w:vAlign w:val="center"/>
            <w:textDirection w:val="lrTb"/>
            <w:noWrap w:val="false"/>
          </w:tcPr>
          <w:p>
            <w:pPr>
              <w:pStyle w:val="801"/>
              <w:jc w:val="left"/>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1.混凝土种类及强度:C30商品砼。</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2.项目内容:⑴施工前凿毛清除；⑵浇筑养护施工150mm厚混凝土路面。</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3.其他说明:本项目报价包括模板支护拆除等措施项目费用。</w:t>
            </w:r>
            <w:r>
              <w:rPr>
                <w:rFonts w:hint="eastAsia" w:ascii="宋体" w:hAnsi="宋体" w:eastAsia="宋体" w:cs="宋体"/>
                <w:i w:val="0"/>
                <w:iCs w:val="0"/>
                <w:color w:val="000000"/>
                <w:sz w:val="21"/>
                <w:szCs w:val="21"/>
                <w:highlight w:val="none"/>
                <w:u w:val="none"/>
              </w:rPr>
            </w:r>
            <w:r/>
          </w:p>
        </w:tc>
        <w:tc>
          <w:tcPr>
            <w:shd w:val="clear" w:color="ffffff" w:fill="ffffff"/>
            <w:tcW w:w="549" w:type="dxa"/>
            <w:vAlign w:val="center"/>
            <w:textDirection w:val="lrTb"/>
            <w:noWrap w:val="false"/>
          </w:tcPr>
          <w:p>
            <w:pPr>
              <w:pStyle w:val="801"/>
              <w:jc w:val="center"/>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m³</w:t>
            </w:r>
            <w:r>
              <w:rPr>
                <w:rFonts w:hint="eastAsia" w:ascii="宋体" w:hAnsi="宋体" w:eastAsia="宋体" w:cs="宋体"/>
                <w:i w:val="0"/>
                <w:iCs w:val="0"/>
                <w:color w:val="000000"/>
                <w:sz w:val="21"/>
                <w:szCs w:val="21"/>
                <w:highlight w:val="none"/>
                <w:u w:val="none"/>
              </w:rPr>
            </w:r>
            <w:r/>
          </w:p>
        </w:tc>
        <w:tc>
          <w:tcPr>
            <w:shd w:val="clear" w:color="ffffff" w:fill="ffffff"/>
            <w:tcW w:w="840" w:type="dxa"/>
            <w:vAlign w:val="center"/>
            <w:textDirection w:val="lrTb"/>
            <w:noWrap w:val="false"/>
          </w:tcPr>
          <w:p>
            <w:pPr>
              <w:pStyle w:val="801"/>
              <w:jc w:val="right"/>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7.2</w:t>
            </w:r>
            <w:r>
              <w:rPr>
                <w:rFonts w:hint="eastAsia" w:ascii="宋体" w:hAnsi="宋体" w:eastAsia="宋体" w:cs="宋体"/>
                <w:i w:val="0"/>
                <w:iCs w:val="0"/>
                <w:color w:val="000000"/>
                <w:sz w:val="21"/>
                <w:szCs w:val="21"/>
                <w:highlight w:val="none"/>
                <w:u w:val="none"/>
              </w:rPr>
            </w:r>
            <w:r/>
          </w:p>
        </w:tc>
      </w:tr>
      <w:tr>
        <w:trPr>
          <w:trHeight w:val="2302"/>
        </w:trPr>
        <w:tc>
          <w:tcPr>
            <w:shd w:val="clear" w:color="ffffff" w:fill="ffffff"/>
            <w:tcW w:w="430" w:type="dxa"/>
            <w:vAlign w:val="center"/>
            <w:textDirection w:val="lrTb"/>
            <w:noWrap w:val="false"/>
          </w:tcPr>
          <w:p>
            <w:pPr>
              <w:pStyle w:val="801"/>
              <w:jc w:val="center"/>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37</w:t>
            </w:r>
            <w:r>
              <w:rPr>
                <w:rFonts w:hint="eastAsia" w:ascii="宋体" w:hAnsi="宋体" w:eastAsia="宋体" w:cs="宋体"/>
                <w:i w:val="0"/>
                <w:iCs w:val="0"/>
                <w:color w:val="000000"/>
                <w:sz w:val="21"/>
                <w:szCs w:val="21"/>
                <w:highlight w:val="none"/>
                <w:u w:val="none"/>
              </w:rPr>
            </w:r>
            <w:r/>
          </w:p>
        </w:tc>
        <w:tc>
          <w:tcPr>
            <w:shd w:val="clear" w:color="ffffff" w:fill="ffffff"/>
            <w:tcW w:w="1160" w:type="dxa"/>
            <w:vAlign w:val="center"/>
            <w:textDirection w:val="lrTb"/>
            <w:noWrap w:val="false"/>
          </w:tcPr>
          <w:p>
            <w:pPr>
              <w:pStyle w:val="801"/>
              <w:jc w:val="center"/>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挡浪板出新</w:t>
            </w:r>
            <w:r>
              <w:rPr>
                <w:rFonts w:hint="eastAsia" w:ascii="宋体" w:hAnsi="宋体" w:eastAsia="宋体" w:cs="宋体"/>
                <w:i w:val="0"/>
                <w:iCs w:val="0"/>
                <w:color w:val="000000"/>
                <w:sz w:val="21"/>
                <w:szCs w:val="21"/>
                <w:highlight w:val="none"/>
                <w:u w:val="none"/>
              </w:rPr>
            </w:r>
            <w:r/>
          </w:p>
        </w:tc>
        <w:tc>
          <w:tcPr>
            <w:shd w:val="clear" w:color="ffffff" w:fill="ffffff"/>
            <w:tcW w:w="6120" w:type="dxa"/>
            <w:vAlign w:val="center"/>
            <w:textDirection w:val="lrTb"/>
            <w:noWrap w:val="false"/>
          </w:tcPr>
          <w:p>
            <w:pPr>
              <w:pStyle w:val="801"/>
              <w:jc w:val="left"/>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1.项目内容:挡浪板出新。</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2.基层处理:基层需彻底清除旧涂层、油污、盐分，局部需修补后打磨。</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3.涂装:环氧封闭底漆（1 道，不小于 50μm）+ 环氧云铁中间漆（1 道，不小于 150μm）+ 聚氨酯面漆（2 道，不小于 200μm）。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4.其他说明:颜色根据采购人要求选定。</w:t>
            </w:r>
            <w:r>
              <w:rPr>
                <w:rFonts w:hint="eastAsia" w:ascii="宋体" w:hAnsi="宋体" w:eastAsia="宋体" w:cs="宋体"/>
                <w:i w:val="0"/>
                <w:iCs w:val="0"/>
                <w:color w:val="000000"/>
                <w:sz w:val="21"/>
                <w:szCs w:val="21"/>
                <w:highlight w:val="none"/>
                <w:u w:val="none"/>
              </w:rPr>
            </w:r>
            <w:r/>
          </w:p>
        </w:tc>
        <w:tc>
          <w:tcPr>
            <w:shd w:val="clear" w:color="ffffff" w:fill="ffffff"/>
            <w:tcW w:w="549" w:type="dxa"/>
            <w:vAlign w:val="center"/>
            <w:textDirection w:val="lrTb"/>
            <w:noWrap w:val="false"/>
          </w:tcPr>
          <w:p>
            <w:pPr>
              <w:pStyle w:val="801"/>
              <w:jc w:val="center"/>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m²</w:t>
            </w:r>
            <w:r>
              <w:rPr>
                <w:rFonts w:hint="eastAsia" w:ascii="宋体" w:hAnsi="宋体" w:eastAsia="宋体" w:cs="宋体"/>
                <w:i w:val="0"/>
                <w:iCs w:val="0"/>
                <w:color w:val="000000"/>
                <w:sz w:val="21"/>
                <w:szCs w:val="21"/>
                <w:highlight w:val="none"/>
                <w:u w:val="none"/>
              </w:rPr>
            </w:r>
            <w:r/>
          </w:p>
        </w:tc>
        <w:tc>
          <w:tcPr>
            <w:shd w:val="clear" w:color="ffffff" w:fill="ffffff"/>
            <w:tcW w:w="840" w:type="dxa"/>
            <w:vAlign w:val="center"/>
            <w:textDirection w:val="lrTb"/>
            <w:noWrap w:val="false"/>
          </w:tcPr>
          <w:p>
            <w:pPr>
              <w:pStyle w:val="801"/>
              <w:jc w:val="right"/>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180</w:t>
            </w:r>
            <w:r>
              <w:rPr>
                <w:rFonts w:hint="eastAsia" w:ascii="宋体" w:hAnsi="宋体" w:eastAsia="宋体" w:cs="宋体"/>
                <w:i w:val="0"/>
                <w:iCs w:val="0"/>
                <w:color w:val="000000"/>
                <w:sz w:val="21"/>
                <w:szCs w:val="21"/>
                <w:highlight w:val="none"/>
                <w:u w:val="none"/>
              </w:rPr>
            </w:r>
            <w:r/>
          </w:p>
        </w:tc>
      </w:tr>
      <w:tr>
        <w:trPr>
          <w:trHeight w:val="2928"/>
        </w:trPr>
        <w:tc>
          <w:tcPr>
            <w:shd w:val="clear" w:color="ffffff" w:fill="ffffff"/>
            <w:tcW w:w="430" w:type="dxa"/>
            <w:vAlign w:val="center"/>
            <w:textDirection w:val="lrTb"/>
            <w:noWrap w:val="false"/>
          </w:tcPr>
          <w:p>
            <w:pPr>
              <w:pStyle w:val="801"/>
              <w:jc w:val="center"/>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38</w:t>
            </w:r>
            <w:r>
              <w:rPr>
                <w:rFonts w:hint="eastAsia" w:ascii="宋体" w:hAnsi="宋体" w:eastAsia="宋体" w:cs="宋体"/>
                <w:i w:val="0"/>
                <w:iCs w:val="0"/>
                <w:color w:val="000000"/>
                <w:sz w:val="21"/>
                <w:szCs w:val="21"/>
                <w:highlight w:val="none"/>
                <w:u w:val="none"/>
              </w:rPr>
            </w:r>
            <w:r/>
          </w:p>
        </w:tc>
        <w:tc>
          <w:tcPr>
            <w:shd w:val="clear" w:color="ffffff" w:fill="ffffff"/>
            <w:tcW w:w="1160" w:type="dxa"/>
            <w:vAlign w:val="center"/>
            <w:textDirection w:val="lrTb"/>
            <w:noWrap w:val="false"/>
          </w:tcPr>
          <w:p>
            <w:pPr>
              <w:pStyle w:val="801"/>
              <w:jc w:val="center"/>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电缆沟盖板更换</w:t>
            </w:r>
            <w:r>
              <w:rPr>
                <w:rFonts w:hint="eastAsia" w:ascii="宋体" w:hAnsi="宋体" w:eastAsia="宋体" w:cs="宋体"/>
                <w:i w:val="0"/>
                <w:iCs w:val="0"/>
                <w:color w:val="000000"/>
                <w:sz w:val="21"/>
                <w:szCs w:val="21"/>
                <w:highlight w:val="none"/>
                <w:u w:val="none"/>
              </w:rPr>
            </w:r>
            <w:r/>
          </w:p>
        </w:tc>
        <w:tc>
          <w:tcPr>
            <w:shd w:val="clear" w:color="ffffff" w:fill="ffffff"/>
            <w:tcW w:w="6120" w:type="dxa"/>
            <w:vAlign w:val="center"/>
            <w:textDirection w:val="lrTb"/>
            <w:noWrap w:val="false"/>
          </w:tcPr>
          <w:p>
            <w:pPr>
              <w:pStyle w:val="801"/>
              <w:jc w:val="left"/>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1.施工内容:电缆沟盖板更换。</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2.盖板材质:球墨铸铁，定制带采购人标识LOGO。</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3.规格尺寸:样式同一线闸电缆沟盖板，具体尺寸以现状为准大约是400×680×50mm。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4.齿槽及锚固:盖板两侧齿槽及电缆沟两端齿槽镶嵌50*50*5角钢，6钢筋植筋并与齿槽角钢焊接锚固，植筋锚固间距≤400mm。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5.其他说明:本项包括原砼盖板拆除处置、拆除部位修补等所有费用，具体做法详见设计图纸。</w:t>
            </w:r>
            <w:r>
              <w:rPr>
                <w:rFonts w:hint="eastAsia" w:ascii="宋体" w:hAnsi="宋体" w:eastAsia="宋体" w:cs="宋体"/>
                <w:i w:val="0"/>
                <w:iCs w:val="0"/>
                <w:color w:val="000000"/>
                <w:sz w:val="21"/>
                <w:szCs w:val="21"/>
                <w:highlight w:val="none"/>
                <w:u w:val="none"/>
              </w:rPr>
            </w:r>
            <w:r/>
          </w:p>
        </w:tc>
        <w:tc>
          <w:tcPr>
            <w:shd w:val="clear" w:color="ffffff" w:fill="ffffff"/>
            <w:tcW w:w="549" w:type="dxa"/>
            <w:vAlign w:val="center"/>
            <w:textDirection w:val="lrTb"/>
            <w:noWrap w:val="false"/>
          </w:tcPr>
          <w:p>
            <w:pPr>
              <w:pStyle w:val="801"/>
              <w:jc w:val="center"/>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块</w:t>
            </w:r>
            <w:r>
              <w:rPr>
                <w:rFonts w:hint="eastAsia" w:ascii="宋体" w:hAnsi="宋体" w:eastAsia="宋体" w:cs="宋体"/>
                <w:i w:val="0"/>
                <w:iCs w:val="0"/>
                <w:color w:val="000000"/>
                <w:sz w:val="21"/>
                <w:szCs w:val="21"/>
                <w:highlight w:val="none"/>
                <w:u w:val="none"/>
              </w:rPr>
            </w:r>
            <w:r/>
          </w:p>
        </w:tc>
        <w:tc>
          <w:tcPr>
            <w:shd w:val="clear" w:color="ffffff" w:fill="ffffff"/>
            <w:tcW w:w="840" w:type="dxa"/>
            <w:vAlign w:val="center"/>
            <w:textDirection w:val="lrTb"/>
            <w:noWrap w:val="false"/>
          </w:tcPr>
          <w:p>
            <w:pPr>
              <w:pStyle w:val="801"/>
              <w:jc w:val="right"/>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136</w:t>
            </w:r>
            <w:r>
              <w:rPr>
                <w:rFonts w:hint="eastAsia" w:ascii="宋体" w:hAnsi="宋体" w:eastAsia="宋体" w:cs="宋体"/>
                <w:i w:val="0"/>
                <w:iCs w:val="0"/>
                <w:color w:val="000000"/>
                <w:sz w:val="21"/>
                <w:szCs w:val="21"/>
                <w:highlight w:val="none"/>
                <w:u w:val="none"/>
              </w:rPr>
            </w:r>
            <w:r/>
          </w:p>
        </w:tc>
      </w:tr>
      <w:tr>
        <w:trPr>
          <w:trHeight w:val="480"/>
        </w:trPr>
        <w:tc>
          <w:tcPr>
            <w:shd w:val="clear" w:color="ffffff" w:fill="ffffff"/>
            <w:tcW w:w="430" w:type="dxa"/>
            <w:vAlign w:val="center"/>
            <w:textDirection w:val="lrTb"/>
            <w:noWrap w:val="false"/>
          </w:tcPr>
          <w:p>
            <w:pPr>
              <w:pStyle w:val="801"/>
              <w:jc w:val="center"/>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39</w:t>
            </w:r>
            <w:r>
              <w:rPr>
                <w:rFonts w:hint="eastAsia" w:ascii="宋体" w:hAnsi="宋体" w:eastAsia="宋体" w:cs="宋体"/>
                <w:i w:val="0"/>
                <w:iCs w:val="0"/>
                <w:color w:val="000000"/>
                <w:sz w:val="21"/>
                <w:szCs w:val="21"/>
                <w:highlight w:val="none"/>
                <w:u w:val="none"/>
              </w:rPr>
            </w:r>
            <w:r/>
          </w:p>
        </w:tc>
        <w:tc>
          <w:tcPr>
            <w:shd w:val="clear" w:color="ffffff" w:fill="ffffff"/>
            <w:tcW w:w="1160" w:type="dxa"/>
            <w:vAlign w:val="center"/>
            <w:textDirection w:val="lrTb"/>
            <w:noWrap w:val="false"/>
          </w:tcPr>
          <w:p>
            <w:pPr>
              <w:pStyle w:val="801"/>
              <w:jc w:val="center"/>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沉降位移观测点设置</w:t>
            </w:r>
            <w:r>
              <w:rPr>
                <w:rFonts w:hint="eastAsia" w:ascii="宋体" w:hAnsi="宋体" w:eastAsia="宋体" w:cs="宋体"/>
                <w:i w:val="0"/>
                <w:iCs w:val="0"/>
                <w:color w:val="000000"/>
                <w:sz w:val="21"/>
                <w:szCs w:val="21"/>
                <w:highlight w:val="none"/>
                <w:u w:val="none"/>
              </w:rPr>
            </w:r>
            <w:r/>
          </w:p>
        </w:tc>
        <w:tc>
          <w:tcPr>
            <w:shd w:val="clear" w:color="ffffff" w:fill="ffffff"/>
            <w:tcW w:w="6120" w:type="dxa"/>
            <w:vAlign w:val="center"/>
            <w:textDirection w:val="lrTb"/>
            <w:noWrap w:val="false"/>
          </w:tcPr>
          <w:p>
            <w:pPr>
              <w:pStyle w:val="801"/>
              <w:jc w:val="left"/>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1.项目内容:预埋铜板、铜钉沉降位移观测点。</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2.其他说明:其他详见图纸。</w:t>
            </w:r>
            <w:r>
              <w:rPr>
                <w:rFonts w:hint="eastAsia" w:ascii="宋体" w:hAnsi="宋体" w:eastAsia="宋体" w:cs="宋体"/>
                <w:i w:val="0"/>
                <w:iCs w:val="0"/>
                <w:color w:val="000000"/>
                <w:sz w:val="21"/>
                <w:szCs w:val="21"/>
                <w:highlight w:val="none"/>
                <w:u w:val="none"/>
              </w:rPr>
            </w:r>
            <w:r/>
          </w:p>
        </w:tc>
        <w:tc>
          <w:tcPr>
            <w:shd w:val="clear" w:color="ffffff" w:fill="ffffff"/>
            <w:tcW w:w="549" w:type="dxa"/>
            <w:vAlign w:val="center"/>
            <w:textDirection w:val="lrTb"/>
            <w:noWrap w:val="false"/>
          </w:tcPr>
          <w:p>
            <w:pPr>
              <w:pStyle w:val="801"/>
              <w:jc w:val="center"/>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rPr>
            </w:r>
            <w:r/>
          </w:p>
        </w:tc>
        <w:tc>
          <w:tcPr>
            <w:shd w:val="clear" w:color="ffffff" w:fill="ffffff"/>
            <w:tcW w:w="840" w:type="dxa"/>
            <w:vAlign w:val="center"/>
            <w:textDirection w:val="lrTb"/>
            <w:noWrap w:val="false"/>
          </w:tcPr>
          <w:p>
            <w:pPr>
              <w:pStyle w:val="801"/>
              <w:jc w:val="right"/>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w:t>
            </w:r>
            <w:r>
              <w:rPr>
                <w:rFonts w:hint="eastAsia" w:ascii="宋体" w:hAnsi="宋体" w:eastAsia="宋体" w:cs="宋体"/>
                <w:i w:val="0"/>
                <w:iCs w:val="0"/>
                <w:color w:val="000000"/>
                <w:sz w:val="21"/>
                <w:szCs w:val="21"/>
                <w:highlight w:val="none"/>
                <w:u w:val="none"/>
              </w:rPr>
            </w:r>
            <w:r/>
          </w:p>
        </w:tc>
      </w:tr>
      <w:tr>
        <w:trPr>
          <w:trHeight w:val="2302"/>
        </w:trPr>
        <w:tc>
          <w:tcPr>
            <w:shd w:val="clear" w:color="ffffff" w:fill="ffffff"/>
            <w:tcW w:w="430" w:type="dxa"/>
            <w:vAlign w:val="center"/>
            <w:textDirection w:val="lrTb"/>
            <w:noWrap w:val="false"/>
          </w:tcPr>
          <w:p>
            <w:pPr>
              <w:pStyle w:val="801"/>
              <w:jc w:val="center"/>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w:t>
            </w:r>
            <w:r>
              <w:rPr>
                <w:rFonts w:hint="eastAsia" w:ascii="宋体" w:hAnsi="宋体" w:eastAsia="宋体" w:cs="宋体"/>
                <w:i w:val="0"/>
                <w:iCs w:val="0"/>
                <w:color w:val="000000"/>
                <w:sz w:val="21"/>
                <w:szCs w:val="21"/>
                <w:highlight w:val="none"/>
                <w:u w:val="none"/>
              </w:rPr>
            </w:r>
            <w:r/>
          </w:p>
        </w:tc>
        <w:tc>
          <w:tcPr>
            <w:shd w:val="clear" w:color="ffffff" w:fill="ffffff"/>
            <w:tcW w:w="1160" w:type="dxa"/>
            <w:vAlign w:val="center"/>
            <w:textDirection w:val="lrTb"/>
            <w:noWrap w:val="false"/>
          </w:tcPr>
          <w:p>
            <w:pPr>
              <w:pStyle w:val="801"/>
              <w:jc w:val="center"/>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原宣传牌出新改造</w:t>
            </w:r>
            <w:r>
              <w:rPr>
                <w:rFonts w:hint="eastAsia" w:ascii="宋体" w:hAnsi="宋体" w:eastAsia="宋体" w:cs="宋体"/>
                <w:i w:val="0"/>
                <w:iCs w:val="0"/>
                <w:color w:val="000000"/>
                <w:sz w:val="21"/>
                <w:szCs w:val="21"/>
                <w:highlight w:val="none"/>
                <w:u w:val="none"/>
              </w:rPr>
            </w:r>
            <w:r/>
          </w:p>
        </w:tc>
        <w:tc>
          <w:tcPr>
            <w:shd w:val="clear" w:color="ffffff" w:fill="ffffff"/>
            <w:tcW w:w="6120" w:type="dxa"/>
            <w:vAlign w:val="center"/>
            <w:textDirection w:val="lrTb"/>
            <w:noWrap w:val="false"/>
          </w:tcPr>
          <w:p>
            <w:pPr>
              <w:pStyle w:val="801"/>
              <w:jc w:val="left"/>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1.项目内容:原宣传牌出新改造2块，原宣传牌拆除后骨架整修，牌面反光膜更新，内容格式参照原内容。立杆及基础保留利旧，除锈防</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腐后重新贴反光膜。其中 3#墩宣传牌移位至灯杆后沿。所有标识标牌底模采用工程级反光膜，文字采用高强级反光膜。</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2.规格尺寸:1960*1160mm、3400*2100mm。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3.其他说明:其他详见图纸。</w:t>
            </w:r>
            <w:r>
              <w:rPr>
                <w:rFonts w:hint="eastAsia" w:ascii="宋体" w:hAnsi="宋体" w:eastAsia="宋体" w:cs="宋体"/>
                <w:i w:val="0"/>
                <w:iCs w:val="0"/>
                <w:color w:val="000000"/>
                <w:sz w:val="21"/>
                <w:szCs w:val="21"/>
                <w:highlight w:val="none"/>
                <w:u w:val="none"/>
              </w:rPr>
            </w:r>
            <w:r/>
          </w:p>
        </w:tc>
        <w:tc>
          <w:tcPr>
            <w:shd w:val="clear" w:color="ffffff" w:fill="ffffff"/>
            <w:tcW w:w="549" w:type="dxa"/>
            <w:vAlign w:val="center"/>
            <w:textDirection w:val="lrTb"/>
            <w:noWrap w:val="false"/>
          </w:tcPr>
          <w:p>
            <w:pPr>
              <w:pStyle w:val="801"/>
              <w:jc w:val="center"/>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rPr>
                <w:rFonts w:hint="eastAsia" w:ascii="宋体" w:hAnsi="宋体" w:eastAsia="宋体" w:cs="宋体"/>
                <w:i w:val="0"/>
                <w:iCs w:val="0"/>
                <w:color w:val="000000"/>
                <w:sz w:val="21"/>
                <w:szCs w:val="21"/>
                <w:highlight w:val="none"/>
                <w:u w:val="none"/>
              </w:rPr>
            </w:r>
            <w:r/>
          </w:p>
        </w:tc>
        <w:tc>
          <w:tcPr>
            <w:shd w:val="clear" w:color="ffffff" w:fill="ffffff"/>
            <w:tcW w:w="840" w:type="dxa"/>
            <w:vAlign w:val="center"/>
            <w:textDirection w:val="lrTb"/>
            <w:noWrap w:val="false"/>
          </w:tcPr>
          <w:p>
            <w:pPr>
              <w:pStyle w:val="801"/>
              <w:jc w:val="right"/>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r>
      <w:tr>
        <w:trPr>
          <w:trHeight w:val="1169"/>
        </w:trPr>
        <w:tc>
          <w:tcPr>
            <w:shd w:val="clear" w:color="ffffff" w:fill="ffffff"/>
            <w:tcW w:w="430" w:type="dxa"/>
            <w:vAlign w:val="center"/>
            <w:textDirection w:val="lrTb"/>
            <w:noWrap w:val="false"/>
          </w:tcPr>
          <w:p>
            <w:pPr>
              <w:pStyle w:val="801"/>
              <w:jc w:val="center"/>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41</w:t>
            </w:r>
            <w:r>
              <w:rPr>
                <w:rFonts w:hint="eastAsia" w:ascii="宋体" w:hAnsi="宋体" w:eastAsia="宋体" w:cs="宋体"/>
                <w:i w:val="0"/>
                <w:iCs w:val="0"/>
                <w:color w:val="000000"/>
                <w:sz w:val="21"/>
                <w:szCs w:val="21"/>
                <w:highlight w:val="none"/>
                <w:u w:val="none"/>
              </w:rPr>
            </w:r>
            <w:r/>
          </w:p>
        </w:tc>
        <w:tc>
          <w:tcPr>
            <w:shd w:val="clear" w:color="ffffff" w:fill="ffffff"/>
            <w:tcW w:w="1160" w:type="dxa"/>
            <w:vAlign w:val="center"/>
            <w:textDirection w:val="lrTb"/>
            <w:noWrap w:val="false"/>
          </w:tcPr>
          <w:p>
            <w:pPr>
              <w:pStyle w:val="801"/>
              <w:jc w:val="center"/>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档位牌</w:t>
            </w:r>
            <w:r>
              <w:rPr>
                <w:rFonts w:hint="eastAsia" w:ascii="宋体" w:hAnsi="宋体" w:eastAsia="宋体" w:cs="宋体"/>
                <w:i w:val="0"/>
                <w:iCs w:val="0"/>
                <w:color w:val="000000"/>
                <w:sz w:val="21"/>
                <w:szCs w:val="21"/>
                <w:highlight w:val="none"/>
                <w:u w:val="none"/>
              </w:rPr>
            </w:r>
            <w:r/>
          </w:p>
        </w:tc>
        <w:tc>
          <w:tcPr>
            <w:shd w:val="clear" w:color="ffffff" w:fill="ffffff"/>
            <w:tcW w:w="6120" w:type="dxa"/>
            <w:vAlign w:val="center"/>
            <w:textDirection w:val="lrTb"/>
            <w:noWrap w:val="false"/>
          </w:tcPr>
          <w:p>
            <w:pPr>
              <w:pStyle w:val="801"/>
              <w:jc w:val="left"/>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1.项目内容:新做2mm铝合金面板档位牌布置于栏杆上。</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2.规格尺寸: 1870*1090mm。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3.其他说明:其他详见图纸。</w:t>
            </w:r>
            <w:r>
              <w:rPr>
                <w:rFonts w:hint="eastAsia" w:ascii="宋体" w:hAnsi="宋体" w:eastAsia="宋体" w:cs="宋体"/>
                <w:i w:val="0"/>
                <w:iCs w:val="0"/>
                <w:color w:val="000000"/>
                <w:sz w:val="21"/>
                <w:szCs w:val="21"/>
                <w:highlight w:val="none"/>
                <w:u w:val="none"/>
              </w:rPr>
            </w:r>
            <w:r/>
          </w:p>
        </w:tc>
        <w:tc>
          <w:tcPr>
            <w:shd w:val="clear" w:color="ffffff" w:fill="ffffff"/>
            <w:tcW w:w="549" w:type="dxa"/>
            <w:vAlign w:val="center"/>
            <w:textDirection w:val="lrTb"/>
            <w:noWrap w:val="false"/>
          </w:tcPr>
          <w:p>
            <w:pPr>
              <w:pStyle w:val="801"/>
              <w:jc w:val="center"/>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rPr>
            </w:r>
            <w:r/>
          </w:p>
        </w:tc>
        <w:tc>
          <w:tcPr>
            <w:shd w:val="clear" w:color="ffffff" w:fill="ffffff"/>
            <w:tcW w:w="840" w:type="dxa"/>
            <w:vAlign w:val="center"/>
            <w:textDirection w:val="lrTb"/>
            <w:noWrap w:val="false"/>
          </w:tcPr>
          <w:p>
            <w:pPr>
              <w:pStyle w:val="801"/>
              <w:jc w:val="right"/>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rFonts w:hint="eastAsia" w:ascii="宋体" w:hAnsi="宋体" w:eastAsia="宋体" w:cs="宋体"/>
                <w:i w:val="0"/>
                <w:iCs w:val="0"/>
                <w:color w:val="000000"/>
                <w:sz w:val="21"/>
                <w:szCs w:val="21"/>
                <w:highlight w:val="none"/>
                <w:u w:val="none"/>
              </w:rPr>
            </w:r>
            <w:r/>
          </w:p>
        </w:tc>
      </w:tr>
      <w:tr>
        <w:trPr>
          <w:trHeight w:val="1537"/>
        </w:trPr>
        <w:tc>
          <w:tcPr>
            <w:shd w:val="clear" w:color="ffffff" w:fill="ffffff"/>
            <w:tcW w:w="430" w:type="dxa"/>
            <w:vAlign w:val="center"/>
            <w:textDirection w:val="lrTb"/>
            <w:noWrap w:val="false"/>
          </w:tcPr>
          <w:p>
            <w:pPr>
              <w:pStyle w:val="801"/>
              <w:jc w:val="center"/>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42</w:t>
            </w:r>
            <w:r>
              <w:rPr>
                <w:rFonts w:hint="eastAsia" w:ascii="宋体" w:hAnsi="宋体" w:eastAsia="宋体" w:cs="宋体"/>
                <w:i w:val="0"/>
                <w:iCs w:val="0"/>
                <w:color w:val="000000"/>
                <w:sz w:val="21"/>
                <w:szCs w:val="21"/>
                <w:highlight w:val="none"/>
                <w:u w:val="none"/>
              </w:rPr>
            </w:r>
            <w:r/>
          </w:p>
        </w:tc>
        <w:tc>
          <w:tcPr>
            <w:shd w:val="clear" w:color="ffffff" w:fill="ffffff"/>
            <w:tcW w:w="1160" w:type="dxa"/>
            <w:vAlign w:val="center"/>
            <w:textDirection w:val="lrTb"/>
            <w:noWrap w:val="false"/>
          </w:tcPr>
          <w:p>
            <w:pPr>
              <w:pStyle w:val="801"/>
              <w:jc w:val="center"/>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警示标牌</w:t>
            </w:r>
            <w:r>
              <w:rPr>
                <w:rFonts w:hint="eastAsia" w:ascii="宋体" w:hAnsi="宋体" w:eastAsia="宋体" w:cs="宋体"/>
                <w:i w:val="0"/>
                <w:iCs w:val="0"/>
                <w:color w:val="000000"/>
                <w:sz w:val="21"/>
                <w:szCs w:val="21"/>
                <w:highlight w:val="none"/>
                <w:u w:val="none"/>
              </w:rPr>
            </w:r>
            <w:r/>
          </w:p>
        </w:tc>
        <w:tc>
          <w:tcPr>
            <w:shd w:val="clear" w:color="ffffff" w:fill="ffffff"/>
            <w:tcW w:w="6120" w:type="dxa"/>
            <w:vAlign w:val="center"/>
            <w:textDirection w:val="lrTb"/>
            <w:noWrap w:val="false"/>
          </w:tcPr>
          <w:p>
            <w:pPr>
              <w:pStyle w:val="801"/>
              <w:jc w:val="left"/>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1.项目内容:新做警示标牌面板采用2mm铝合金面板，每套正反两面，采用抱箍或其他方式成三角形固定在智慧灯杆上。</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2.规格尺寸:800*1000mm。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3.其他说明:其他详见图纸。</w:t>
            </w:r>
            <w:r>
              <w:rPr>
                <w:rFonts w:hint="eastAsia" w:ascii="宋体" w:hAnsi="宋体" w:eastAsia="宋体" w:cs="宋体"/>
                <w:i w:val="0"/>
                <w:iCs w:val="0"/>
                <w:color w:val="000000"/>
                <w:sz w:val="21"/>
                <w:szCs w:val="21"/>
                <w:highlight w:val="none"/>
                <w:u w:val="none"/>
              </w:rPr>
            </w:r>
            <w:r/>
          </w:p>
        </w:tc>
        <w:tc>
          <w:tcPr>
            <w:shd w:val="clear" w:color="ffffff" w:fill="ffffff"/>
            <w:tcW w:w="549" w:type="dxa"/>
            <w:vAlign w:val="center"/>
            <w:textDirection w:val="lrTb"/>
            <w:noWrap w:val="false"/>
          </w:tcPr>
          <w:p>
            <w:pPr>
              <w:pStyle w:val="801"/>
              <w:jc w:val="center"/>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rPr>
            </w:r>
            <w:r/>
          </w:p>
        </w:tc>
        <w:tc>
          <w:tcPr>
            <w:shd w:val="clear" w:color="ffffff" w:fill="ffffff"/>
            <w:tcW w:w="840" w:type="dxa"/>
            <w:vAlign w:val="center"/>
            <w:textDirection w:val="lrTb"/>
            <w:noWrap w:val="false"/>
          </w:tcPr>
          <w:p>
            <w:pPr>
              <w:pStyle w:val="801"/>
              <w:jc w:val="right"/>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rFonts w:hint="eastAsia" w:ascii="宋体" w:hAnsi="宋体" w:eastAsia="宋体" w:cs="宋体"/>
                <w:i w:val="0"/>
                <w:iCs w:val="0"/>
                <w:color w:val="000000"/>
                <w:sz w:val="21"/>
                <w:szCs w:val="21"/>
                <w:highlight w:val="none"/>
                <w:u w:val="none"/>
              </w:rPr>
            </w:r>
            <w:r/>
          </w:p>
        </w:tc>
      </w:tr>
      <w:tr>
        <w:trPr>
          <w:trHeight w:val="1224"/>
        </w:trPr>
        <w:tc>
          <w:tcPr>
            <w:shd w:val="clear" w:color="ffffff" w:fill="ffffff"/>
            <w:tcW w:w="430" w:type="dxa"/>
            <w:vAlign w:val="center"/>
            <w:textDirection w:val="lrTb"/>
            <w:noWrap w:val="false"/>
          </w:tcPr>
          <w:p>
            <w:pPr>
              <w:pStyle w:val="801"/>
              <w:jc w:val="center"/>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43</w:t>
            </w:r>
            <w:r>
              <w:rPr>
                <w:rFonts w:hint="eastAsia" w:ascii="宋体" w:hAnsi="宋体" w:eastAsia="宋体" w:cs="宋体"/>
                <w:i w:val="0"/>
                <w:iCs w:val="0"/>
                <w:color w:val="000000"/>
                <w:sz w:val="21"/>
                <w:szCs w:val="21"/>
                <w:highlight w:val="none"/>
                <w:u w:val="none"/>
              </w:rPr>
            </w:r>
            <w:r/>
          </w:p>
        </w:tc>
        <w:tc>
          <w:tcPr>
            <w:shd w:val="clear" w:color="ffffff" w:fill="ffffff"/>
            <w:tcW w:w="1160" w:type="dxa"/>
            <w:vAlign w:val="center"/>
            <w:textDirection w:val="lrTb"/>
            <w:noWrap w:val="false"/>
          </w:tcPr>
          <w:p>
            <w:pPr>
              <w:pStyle w:val="801"/>
              <w:jc w:val="center"/>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现状水泥船清理</w:t>
            </w:r>
            <w:r>
              <w:rPr>
                <w:rFonts w:hint="eastAsia" w:ascii="宋体" w:hAnsi="宋体" w:eastAsia="宋体" w:cs="宋体"/>
                <w:i w:val="0"/>
                <w:iCs w:val="0"/>
                <w:color w:val="000000"/>
                <w:sz w:val="21"/>
                <w:szCs w:val="21"/>
                <w:highlight w:val="none"/>
                <w:u w:val="none"/>
              </w:rPr>
            </w:r>
            <w:r/>
          </w:p>
        </w:tc>
        <w:tc>
          <w:tcPr>
            <w:shd w:val="clear" w:color="ffffff" w:fill="ffffff"/>
            <w:tcW w:w="6120" w:type="dxa"/>
            <w:vAlign w:val="center"/>
            <w:textDirection w:val="lrTb"/>
            <w:noWrap w:val="false"/>
          </w:tcPr>
          <w:p>
            <w:pPr>
              <w:pStyle w:val="801"/>
              <w:jc w:val="left"/>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1.项目内容:靠船墩后沿废弃船体清理并外运。</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2.其他说明:投标人应自行勘察现场，报价时充分考虑现场施工条件等各种不利因素，竣工结算不调整清单报价。</w:t>
            </w:r>
            <w:r>
              <w:rPr>
                <w:rFonts w:hint="eastAsia" w:ascii="宋体" w:hAnsi="宋体" w:eastAsia="宋体" w:cs="宋体"/>
                <w:i w:val="0"/>
                <w:iCs w:val="0"/>
                <w:color w:val="000000"/>
                <w:sz w:val="21"/>
                <w:szCs w:val="21"/>
                <w:highlight w:val="none"/>
                <w:u w:val="none"/>
              </w:rPr>
            </w:r>
            <w:r/>
          </w:p>
        </w:tc>
        <w:tc>
          <w:tcPr>
            <w:shd w:val="clear" w:color="ffffff" w:fill="ffffff"/>
            <w:tcW w:w="549" w:type="dxa"/>
            <w:vAlign w:val="center"/>
            <w:textDirection w:val="lrTb"/>
            <w:noWrap w:val="false"/>
          </w:tcPr>
          <w:p>
            <w:pPr>
              <w:pStyle w:val="801"/>
              <w:jc w:val="center"/>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艘</w:t>
            </w:r>
            <w:r>
              <w:rPr>
                <w:rFonts w:hint="eastAsia" w:ascii="宋体" w:hAnsi="宋体" w:eastAsia="宋体" w:cs="宋体"/>
                <w:i w:val="0"/>
                <w:iCs w:val="0"/>
                <w:color w:val="000000"/>
                <w:sz w:val="21"/>
                <w:szCs w:val="21"/>
                <w:highlight w:val="none"/>
                <w:u w:val="none"/>
              </w:rPr>
            </w:r>
            <w:r/>
          </w:p>
        </w:tc>
        <w:tc>
          <w:tcPr>
            <w:shd w:val="clear" w:color="ffffff" w:fill="ffffff"/>
            <w:tcW w:w="840" w:type="dxa"/>
            <w:vAlign w:val="center"/>
            <w:textDirection w:val="lrTb"/>
            <w:noWrap w:val="false"/>
          </w:tcPr>
          <w:p>
            <w:pPr>
              <w:pStyle w:val="801"/>
              <w:jc w:val="right"/>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1"/>
                <w:szCs w:val="21"/>
                <w:highlight w:val="none"/>
                <w:u w:val="none"/>
              </w:rPr>
            </w:r>
            <w:r/>
          </w:p>
        </w:tc>
      </w:tr>
      <w:tr>
        <w:trPr>
          <w:trHeight w:val="5255"/>
        </w:trPr>
        <w:tc>
          <w:tcPr>
            <w:shd w:val="clear" w:color="ffffff" w:fill="ffffff"/>
            <w:tcW w:w="430" w:type="dxa"/>
            <w:vAlign w:val="center"/>
            <w:textDirection w:val="lrTb"/>
            <w:noWrap w:val="false"/>
          </w:tcPr>
          <w:p>
            <w:pPr>
              <w:pStyle w:val="801"/>
              <w:jc w:val="center"/>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44</w:t>
            </w:r>
            <w:r>
              <w:rPr>
                <w:rFonts w:hint="eastAsia" w:ascii="宋体" w:hAnsi="宋体" w:eastAsia="宋体" w:cs="宋体"/>
                <w:i w:val="0"/>
                <w:iCs w:val="0"/>
                <w:color w:val="000000"/>
                <w:sz w:val="21"/>
                <w:szCs w:val="21"/>
                <w:highlight w:val="none"/>
                <w:u w:val="none"/>
              </w:rPr>
            </w:r>
            <w:r/>
          </w:p>
        </w:tc>
        <w:tc>
          <w:tcPr>
            <w:shd w:val="clear" w:color="ffffff" w:fill="ffffff"/>
            <w:tcW w:w="1160" w:type="dxa"/>
            <w:vAlign w:val="center"/>
            <w:textDirection w:val="lrTb"/>
            <w:noWrap w:val="false"/>
          </w:tcPr>
          <w:p>
            <w:pPr>
              <w:pStyle w:val="801"/>
              <w:jc w:val="center"/>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安装拆除项</w:t>
            </w:r>
            <w:r>
              <w:rPr>
                <w:rFonts w:hint="eastAsia" w:ascii="宋体" w:hAnsi="宋体" w:eastAsia="宋体" w:cs="宋体"/>
                <w:i w:val="0"/>
                <w:iCs w:val="0"/>
                <w:color w:val="000000"/>
                <w:sz w:val="21"/>
                <w:szCs w:val="21"/>
                <w:highlight w:val="none"/>
                <w:u w:val="none"/>
              </w:rPr>
            </w:r>
            <w:r/>
          </w:p>
        </w:tc>
        <w:tc>
          <w:tcPr>
            <w:shd w:val="clear" w:color="ffffff" w:fill="ffffff"/>
            <w:tcW w:w="6120" w:type="dxa"/>
            <w:vAlign w:val="center"/>
            <w:textDirection w:val="lrTb"/>
            <w:noWrap w:val="false"/>
          </w:tcPr>
          <w:p>
            <w:pPr>
              <w:pStyle w:val="801"/>
              <w:jc w:val="left"/>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1.项目内容</w:t>
            </w:r>
            <w:r>
              <w:rPr>
                <w:rFonts w:hint="eastAsia" w:ascii="宋体" w:hAnsi="宋体" w:eastAsia="宋体" w:cs="宋体"/>
                <w:i w:val="0"/>
                <w:iCs w:val="0"/>
                <w:color w:val="000000"/>
                <w:sz w:val="21"/>
                <w:szCs w:val="21"/>
                <w:highlight w:val="none"/>
                <w:u w:val="none"/>
                <w:lang w:val="en-US" w:eastAsia="zh-CN" w:bidi="ar"/>
              </w:rPr>
              <w:t xml:space="preserve">:⑴根据设计图纸及建设单位要求，智慧灯杆照明设备拆除以及本项目为综合本项目为综合拆除项，拆除项目内容包括但不限于以下项目内容：桥架、配管、线缆、光纤、导航墙至15号墩之间6根路灯杆、2根监控杆、4座立杆显示屏等项目安装工程实施需要拆除的所有事项。⑵拆除中原则上实行保护性拆除，特别是实施中需要利旧安装的监控摄像头、播音喇叭等在拆除前应先进行检查确认是否可以正常使用，如果检查发现不能使用的在拆除前应向采购人汇报，经采购人检查确认后拆除；否则，无论什么原因导致监控摄像机、喇叭不能利旧使用的，有承包人自费负责购置。</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其他说明:⑴拆除材料设备拆除的杆件及配套设备全部存放到闸区业主指定位置，并进行分类，除建设单位要求移交的，其他均由承包人自行处置；⑵投标人需充分考虑现场状况及设计要求，按项报价，报价中应包含拆除、搬运、分类、处置等所有费用，竣工结算不调整。</w:t>
            </w:r>
            <w:r>
              <w:rPr>
                <w:rFonts w:hint="eastAsia" w:ascii="宋体" w:hAnsi="宋体" w:eastAsia="宋体" w:cs="宋体"/>
                <w:i w:val="0"/>
                <w:iCs w:val="0"/>
                <w:color w:val="000000"/>
                <w:sz w:val="21"/>
                <w:szCs w:val="21"/>
                <w:highlight w:val="none"/>
                <w:u w:val="none"/>
              </w:rPr>
            </w:r>
            <w:r/>
          </w:p>
        </w:tc>
        <w:tc>
          <w:tcPr>
            <w:shd w:val="clear" w:color="ffffff" w:fill="ffffff"/>
            <w:tcW w:w="549" w:type="dxa"/>
            <w:vAlign w:val="center"/>
            <w:textDirection w:val="lrTb"/>
            <w:noWrap w:val="false"/>
          </w:tcPr>
          <w:p>
            <w:pPr>
              <w:pStyle w:val="801"/>
              <w:jc w:val="center"/>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rPr>
                <w:rFonts w:hint="eastAsia" w:ascii="宋体" w:hAnsi="宋体" w:eastAsia="宋体" w:cs="宋体"/>
                <w:i w:val="0"/>
                <w:iCs w:val="0"/>
                <w:color w:val="000000"/>
                <w:sz w:val="21"/>
                <w:szCs w:val="21"/>
                <w:highlight w:val="none"/>
                <w:u w:val="none"/>
              </w:rPr>
            </w:r>
            <w:r/>
          </w:p>
        </w:tc>
        <w:tc>
          <w:tcPr>
            <w:shd w:val="clear" w:color="ffffff" w:fill="ffffff"/>
            <w:tcW w:w="840" w:type="dxa"/>
            <w:vAlign w:val="center"/>
            <w:textDirection w:val="lrTb"/>
            <w:noWrap w:val="false"/>
          </w:tcPr>
          <w:p>
            <w:pPr>
              <w:pStyle w:val="801"/>
              <w:jc w:val="right"/>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r>
      <w:tr>
        <w:trPr>
          <w:trHeight w:val="2257"/>
        </w:trPr>
        <w:tc>
          <w:tcPr>
            <w:shd w:val="clear" w:color="ffffff" w:fill="ffffff"/>
            <w:tcW w:w="430" w:type="dxa"/>
            <w:vAlign w:val="center"/>
            <w:textDirection w:val="lrTb"/>
            <w:noWrap w:val="false"/>
          </w:tcPr>
          <w:p>
            <w:pPr>
              <w:pStyle w:val="801"/>
              <w:jc w:val="center"/>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45</w:t>
            </w:r>
            <w:r>
              <w:rPr>
                <w:rFonts w:hint="eastAsia" w:ascii="宋体" w:hAnsi="宋体" w:eastAsia="宋体" w:cs="宋体"/>
                <w:i w:val="0"/>
                <w:iCs w:val="0"/>
                <w:color w:val="000000"/>
                <w:sz w:val="21"/>
                <w:szCs w:val="21"/>
                <w:highlight w:val="none"/>
                <w:u w:val="none"/>
              </w:rPr>
            </w:r>
            <w:r/>
          </w:p>
        </w:tc>
        <w:tc>
          <w:tcPr>
            <w:shd w:val="clear" w:color="ffffff" w:fill="ffffff"/>
            <w:tcW w:w="1160" w:type="dxa"/>
            <w:vAlign w:val="center"/>
            <w:textDirection w:val="lrTb"/>
            <w:noWrap w:val="false"/>
          </w:tcPr>
          <w:p>
            <w:pPr>
              <w:pStyle w:val="801"/>
              <w:jc w:val="center"/>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安装恢复项</w:t>
            </w:r>
            <w:r>
              <w:rPr>
                <w:rFonts w:hint="eastAsia" w:ascii="宋体" w:hAnsi="宋体" w:eastAsia="宋体" w:cs="宋体"/>
                <w:i w:val="0"/>
                <w:iCs w:val="0"/>
                <w:color w:val="000000"/>
                <w:sz w:val="21"/>
                <w:szCs w:val="21"/>
                <w:highlight w:val="none"/>
                <w:u w:val="none"/>
              </w:rPr>
            </w:r>
            <w:r/>
          </w:p>
        </w:tc>
        <w:tc>
          <w:tcPr>
            <w:shd w:val="clear" w:color="ffffff" w:fill="ffffff"/>
            <w:tcW w:w="6120" w:type="dxa"/>
            <w:vAlign w:val="center"/>
            <w:textDirection w:val="lrTb"/>
            <w:noWrap w:val="false"/>
          </w:tcPr>
          <w:p>
            <w:pPr>
              <w:pStyle w:val="801"/>
              <w:jc w:val="left"/>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1.恢复项目1:利旧安装原拆除监控设备摄像头3套，安装在新智慧灯杆上，与监控系统线缆连接，确保正常使用。</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2.恢复项目2:利旧安装原拆除播音设备喇叭3套，安装在新智慧灯杆上，与播音系统线缆连接，确保正常使用。</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3.其他说明:利旧设备在安装前应进行检测，确保完好并可正常运行，利旧设备的检测费、保管费等在投标报价中综合考虑。</w:t>
            </w:r>
            <w:r>
              <w:rPr>
                <w:rFonts w:hint="eastAsia" w:ascii="宋体" w:hAnsi="宋体" w:eastAsia="宋体" w:cs="宋体"/>
                <w:i w:val="0"/>
                <w:iCs w:val="0"/>
                <w:color w:val="000000"/>
                <w:sz w:val="21"/>
                <w:szCs w:val="21"/>
                <w:highlight w:val="none"/>
                <w:u w:val="none"/>
              </w:rPr>
            </w:r>
            <w:r/>
          </w:p>
        </w:tc>
        <w:tc>
          <w:tcPr>
            <w:shd w:val="clear" w:color="ffffff" w:fill="ffffff"/>
            <w:tcW w:w="549" w:type="dxa"/>
            <w:vAlign w:val="center"/>
            <w:textDirection w:val="lrTb"/>
            <w:noWrap w:val="false"/>
          </w:tcPr>
          <w:p>
            <w:pPr>
              <w:pStyle w:val="801"/>
              <w:jc w:val="center"/>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rPr>
                <w:rFonts w:hint="eastAsia" w:ascii="宋体" w:hAnsi="宋体" w:eastAsia="宋体" w:cs="宋体"/>
                <w:i w:val="0"/>
                <w:iCs w:val="0"/>
                <w:color w:val="000000"/>
                <w:sz w:val="21"/>
                <w:szCs w:val="21"/>
                <w:highlight w:val="none"/>
                <w:u w:val="none"/>
              </w:rPr>
            </w:r>
            <w:r/>
          </w:p>
        </w:tc>
        <w:tc>
          <w:tcPr>
            <w:shd w:val="clear" w:color="ffffff" w:fill="ffffff"/>
            <w:tcW w:w="840" w:type="dxa"/>
            <w:vAlign w:val="center"/>
            <w:textDirection w:val="lrTb"/>
            <w:noWrap w:val="false"/>
          </w:tcPr>
          <w:p>
            <w:pPr>
              <w:pStyle w:val="801"/>
              <w:jc w:val="right"/>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r>
      <w:tr>
        <w:trPr>
          <w:trHeight w:val="720"/>
        </w:trPr>
        <w:tc>
          <w:tcPr>
            <w:shd w:val="clear" w:color="ffffff" w:fill="ffffff"/>
            <w:tcW w:w="430" w:type="dxa"/>
            <w:vAlign w:val="center"/>
            <w:textDirection w:val="lrTb"/>
            <w:noWrap w:val="false"/>
          </w:tcPr>
          <w:p>
            <w:pPr>
              <w:pStyle w:val="801"/>
              <w:jc w:val="center"/>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46</w:t>
            </w:r>
            <w:r>
              <w:rPr>
                <w:rFonts w:hint="eastAsia" w:ascii="宋体" w:hAnsi="宋体" w:eastAsia="宋体" w:cs="宋体"/>
                <w:i w:val="0"/>
                <w:iCs w:val="0"/>
                <w:color w:val="000000"/>
                <w:sz w:val="21"/>
                <w:szCs w:val="21"/>
                <w:highlight w:val="none"/>
                <w:u w:val="none"/>
              </w:rPr>
            </w:r>
            <w:r/>
          </w:p>
        </w:tc>
        <w:tc>
          <w:tcPr>
            <w:shd w:val="clear" w:color="ffffff" w:fill="ffffff"/>
            <w:tcW w:w="1160" w:type="dxa"/>
            <w:vAlign w:val="center"/>
            <w:textDirection w:val="lrTb"/>
            <w:noWrap w:val="false"/>
          </w:tcPr>
          <w:p>
            <w:pPr>
              <w:pStyle w:val="801"/>
              <w:jc w:val="center"/>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桥架</w:t>
            </w:r>
            <w:r>
              <w:rPr>
                <w:rFonts w:hint="eastAsia" w:ascii="宋体" w:hAnsi="宋体" w:eastAsia="宋体" w:cs="宋体"/>
                <w:i w:val="0"/>
                <w:iCs w:val="0"/>
                <w:color w:val="000000"/>
                <w:sz w:val="21"/>
                <w:szCs w:val="21"/>
                <w:highlight w:val="none"/>
                <w:u w:val="none"/>
              </w:rPr>
            </w:r>
            <w:r/>
          </w:p>
        </w:tc>
        <w:tc>
          <w:tcPr>
            <w:shd w:val="clear" w:color="ffffff" w:fill="ffffff"/>
            <w:tcW w:w="6120" w:type="dxa"/>
            <w:vAlign w:val="center"/>
            <w:textDirection w:val="lrTb"/>
            <w:noWrap w:val="false"/>
          </w:tcPr>
          <w:p>
            <w:pPr>
              <w:pStyle w:val="801"/>
              <w:jc w:val="left"/>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1.规格:300×150</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2.材质:Q235b，热镀锌，厚度 2mm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lang w:val="en-US" w:eastAsia="zh-CN" w:bidi="ar"/>
              </w:rPr>
              <w:t xml:space="preserve">技术</w:t>
            </w:r>
            <w:r>
              <w:rPr>
                <w:rFonts w:hint="eastAsia" w:ascii="宋体" w:hAnsi="宋体" w:eastAsia="宋体" w:cs="宋体"/>
                <w:i w:val="0"/>
                <w:iCs w:val="0"/>
                <w:color w:val="000000"/>
                <w:sz w:val="21"/>
                <w:szCs w:val="21"/>
                <w:highlight w:val="none"/>
                <w:u w:val="none"/>
                <w:lang w:val="en-US" w:eastAsia="zh-CN" w:bidi="ar"/>
              </w:rPr>
              <w:t xml:space="preserve">要求:详见工程量清单编制说明及投标报价要求。</w:t>
            </w:r>
            <w:r>
              <w:rPr>
                <w:rFonts w:hint="eastAsia" w:ascii="宋体" w:hAnsi="宋体" w:eastAsia="宋体" w:cs="宋体"/>
                <w:i w:val="0"/>
                <w:iCs w:val="0"/>
                <w:color w:val="000000"/>
                <w:sz w:val="21"/>
                <w:szCs w:val="21"/>
                <w:highlight w:val="none"/>
                <w:u w:val="none"/>
              </w:rPr>
            </w:r>
            <w:r/>
          </w:p>
        </w:tc>
        <w:tc>
          <w:tcPr>
            <w:shd w:val="clear" w:color="ffffff" w:fill="ffffff"/>
            <w:tcW w:w="549" w:type="dxa"/>
            <w:vAlign w:val="center"/>
            <w:textDirection w:val="lrTb"/>
            <w:noWrap w:val="false"/>
          </w:tcPr>
          <w:p>
            <w:pPr>
              <w:pStyle w:val="801"/>
              <w:jc w:val="center"/>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rPr>
                <w:rFonts w:hint="eastAsia" w:ascii="宋体" w:hAnsi="宋体" w:eastAsia="宋体" w:cs="宋体"/>
                <w:i w:val="0"/>
                <w:iCs w:val="0"/>
                <w:color w:val="000000"/>
                <w:sz w:val="21"/>
                <w:szCs w:val="21"/>
                <w:highlight w:val="none"/>
                <w:u w:val="none"/>
              </w:rPr>
            </w:r>
            <w:r/>
          </w:p>
        </w:tc>
        <w:tc>
          <w:tcPr>
            <w:shd w:val="clear" w:color="ffffff" w:fill="ffffff"/>
            <w:tcW w:w="840" w:type="dxa"/>
            <w:vAlign w:val="center"/>
            <w:textDirection w:val="lrTb"/>
            <w:noWrap w:val="false"/>
          </w:tcPr>
          <w:p>
            <w:pPr>
              <w:pStyle w:val="801"/>
              <w:jc w:val="right"/>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400</w:t>
            </w:r>
            <w:r>
              <w:rPr>
                <w:rFonts w:hint="eastAsia" w:ascii="宋体" w:hAnsi="宋体" w:eastAsia="宋体" w:cs="宋体"/>
                <w:i w:val="0"/>
                <w:iCs w:val="0"/>
                <w:color w:val="000000"/>
                <w:sz w:val="21"/>
                <w:szCs w:val="21"/>
                <w:highlight w:val="none"/>
                <w:u w:val="none"/>
              </w:rPr>
            </w:r>
            <w:r/>
          </w:p>
        </w:tc>
      </w:tr>
      <w:tr>
        <w:trPr>
          <w:trHeight w:val="90"/>
        </w:trPr>
        <w:tc>
          <w:tcPr>
            <w:shd w:val="clear" w:color="ffffff" w:fill="ffffff"/>
            <w:tcW w:w="430" w:type="dxa"/>
            <w:vAlign w:val="center"/>
            <w:textDirection w:val="lrTb"/>
            <w:noWrap w:val="false"/>
          </w:tcPr>
          <w:p>
            <w:pPr>
              <w:pStyle w:val="801"/>
              <w:jc w:val="center"/>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47</w:t>
            </w:r>
            <w:r>
              <w:rPr>
                <w:rFonts w:hint="eastAsia" w:ascii="宋体" w:hAnsi="宋体" w:eastAsia="宋体" w:cs="宋体"/>
                <w:i w:val="0"/>
                <w:iCs w:val="0"/>
                <w:color w:val="000000"/>
                <w:sz w:val="21"/>
                <w:szCs w:val="21"/>
                <w:highlight w:val="none"/>
                <w:u w:val="none"/>
              </w:rPr>
            </w:r>
            <w:r/>
          </w:p>
        </w:tc>
        <w:tc>
          <w:tcPr>
            <w:shd w:val="clear" w:color="ffffff" w:fill="ffffff"/>
            <w:tcW w:w="1160" w:type="dxa"/>
            <w:vAlign w:val="center"/>
            <w:textDirection w:val="lrTb"/>
            <w:noWrap w:val="false"/>
          </w:tcPr>
          <w:p>
            <w:pPr>
              <w:pStyle w:val="801"/>
              <w:jc w:val="center"/>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电缆YJV5*10</w:t>
            </w:r>
            <w:r>
              <w:rPr>
                <w:rFonts w:hint="eastAsia" w:ascii="宋体" w:hAnsi="宋体" w:eastAsia="宋体" w:cs="宋体"/>
                <w:i w:val="0"/>
                <w:iCs w:val="0"/>
                <w:color w:val="000000"/>
                <w:sz w:val="21"/>
                <w:szCs w:val="21"/>
                <w:highlight w:val="none"/>
                <w:u w:val="none"/>
              </w:rPr>
            </w:r>
            <w:r/>
          </w:p>
        </w:tc>
        <w:tc>
          <w:tcPr>
            <w:shd w:val="clear" w:color="ffffff" w:fill="ffffff"/>
            <w:tcW w:w="6120" w:type="dxa"/>
            <w:vAlign w:val="center"/>
            <w:textDirection w:val="lrTb"/>
            <w:noWrap w:val="false"/>
          </w:tcPr>
          <w:p>
            <w:pPr>
              <w:pStyle w:val="801"/>
              <w:jc w:val="left"/>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1.规格:YJV5*10</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2.敷设方式、部位:电缆沟、桥架敷设</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3.技术要求:详见工程量清单编制说明及投标报价要求。</w:t>
            </w:r>
            <w:r>
              <w:rPr>
                <w:rFonts w:hint="eastAsia" w:ascii="宋体" w:hAnsi="宋体" w:eastAsia="宋体" w:cs="宋体"/>
                <w:i w:val="0"/>
                <w:iCs w:val="0"/>
                <w:color w:val="000000"/>
                <w:sz w:val="21"/>
                <w:szCs w:val="21"/>
                <w:highlight w:val="none"/>
                <w:u w:val="none"/>
              </w:rPr>
            </w:r>
            <w:r/>
          </w:p>
        </w:tc>
        <w:tc>
          <w:tcPr>
            <w:shd w:val="clear" w:color="ffffff" w:fill="ffffff"/>
            <w:tcW w:w="549" w:type="dxa"/>
            <w:vAlign w:val="center"/>
            <w:textDirection w:val="lrTb"/>
            <w:noWrap w:val="false"/>
          </w:tcPr>
          <w:p>
            <w:pPr>
              <w:pStyle w:val="801"/>
              <w:jc w:val="center"/>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rPr>
                <w:rFonts w:hint="eastAsia" w:ascii="宋体" w:hAnsi="宋体" w:eastAsia="宋体" w:cs="宋体"/>
                <w:i w:val="0"/>
                <w:iCs w:val="0"/>
                <w:color w:val="000000"/>
                <w:sz w:val="21"/>
                <w:szCs w:val="21"/>
                <w:highlight w:val="none"/>
                <w:u w:val="none"/>
              </w:rPr>
            </w:r>
            <w:r/>
          </w:p>
        </w:tc>
        <w:tc>
          <w:tcPr>
            <w:shd w:val="clear" w:color="ffffff" w:fill="ffffff"/>
            <w:tcW w:w="840" w:type="dxa"/>
            <w:vAlign w:val="center"/>
            <w:textDirection w:val="lrTb"/>
            <w:noWrap w:val="false"/>
          </w:tcPr>
          <w:p>
            <w:pPr>
              <w:pStyle w:val="801"/>
              <w:jc w:val="right"/>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w:t>
            </w:r>
            <w:r>
              <w:rPr>
                <w:rFonts w:hint="eastAsia" w:ascii="宋体" w:hAnsi="宋体" w:eastAsia="宋体" w:cs="宋体"/>
                <w:i w:val="0"/>
                <w:iCs w:val="0"/>
                <w:color w:val="000000"/>
                <w:sz w:val="21"/>
                <w:szCs w:val="21"/>
                <w:highlight w:val="none"/>
                <w:u w:val="none"/>
              </w:rPr>
            </w:r>
            <w:r/>
          </w:p>
        </w:tc>
      </w:tr>
      <w:tr>
        <w:trPr>
          <w:trHeight w:val="870"/>
        </w:trPr>
        <w:tc>
          <w:tcPr>
            <w:shd w:val="clear" w:color="ffffff" w:fill="ffffff"/>
            <w:tcW w:w="430" w:type="dxa"/>
            <w:vAlign w:val="center"/>
            <w:textDirection w:val="lrTb"/>
            <w:noWrap w:val="false"/>
          </w:tcPr>
          <w:p>
            <w:pPr>
              <w:pStyle w:val="801"/>
              <w:jc w:val="center"/>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48</w:t>
            </w:r>
            <w:r>
              <w:rPr>
                <w:rFonts w:hint="eastAsia" w:ascii="宋体" w:hAnsi="宋体" w:eastAsia="宋体" w:cs="宋体"/>
                <w:i w:val="0"/>
                <w:iCs w:val="0"/>
                <w:color w:val="000000"/>
                <w:sz w:val="21"/>
                <w:szCs w:val="21"/>
                <w:highlight w:val="none"/>
                <w:u w:val="none"/>
              </w:rPr>
            </w:r>
            <w:r/>
          </w:p>
        </w:tc>
        <w:tc>
          <w:tcPr>
            <w:shd w:val="clear" w:color="ffffff" w:fill="ffffff"/>
            <w:tcW w:w="1160" w:type="dxa"/>
            <w:vAlign w:val="center"/>
            <w:textDirection w:val="lrTb"/>
            <w:noWrap w:val="false"/>
          </w:tcPr>
          <w:p>
            <w:pPr>
              <w:pStyle w:val="801"/>
              <w:jc w:val="center"/>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电缆YJV5*6</w:t>
            </w:r>
            <w:r>
              <w:rPr>
                <w:rFonts w:hint="eastAsia" w:ascii="宋体" w:hAnsi="宋体" w:eastAsia="宋体" w:cs="宋体"/>
                <w:i w:val="0"/>
                <w:iCs w:val="0"/>
                <w:color w:val="000000"/>
                <w:sz w:val="21"/>
                <w:szCs w:val="21"/>
                <w:highlight w:val="none"/>
                <w:u w:val="none"/>
              </w:rPr>
            </w:r>
            <w:r/>
          </w:p>
        </w:tc>
        <w:tc>
          <w:tcPr>
            <w:shd w:val="clear" w:color="ffffff" w:fill="ffffff"/>
            <w:tcW w:w="6120" w:type="dxa"/>
            <w:vAlign w:val="center"/>
            <w:textDirection w:val="lrTb"/>
            <w:noWrap w:val="false"/>
          </w:tcPr>
          <w:p>
            <w:pPr>
              <w:pStyle w:val="801"/>
              <w:jc w:val="left"/>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1.规格:YJV5*6</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2.敷设方式、部位:电缆沟、桥架敷设</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lang w:val="en-US" w:eastAsia="zh-CN" w:bidi="ar"/>
              </w:rPr>
              <w:t xml:space="preserve">技术</w:t>
            </w:r>
            <w:r>
              <w:rPr>
                <w:rFonts w:hint="eastAsia" w:ascii="宋体" w:hAnsi="宋体" w:eastAsia="宋体" w:cs="宋体"/>
                <w:i w:val="0"/>
                <w:iCs w:val="0"/>
                <w:color w:val="000000"/>
                <w:sz w:val="21"/>
                <w:szCs w:val="21"/>
                <w:highlight w:val="none"/>
                <w:u w:val="none"/>
                <w:lang w:val="en-US" w:eastAsia="zh-CN" w:bidi="ar"/>
              </w:rPr>
              <w:t xml:space="preserve">要求:详见工程量清单编制说明及投标报价要求。</w:t>
            </w:r>
            <w:r>
              <w:rPr>
                <w:rFonts w:hint="eastAsia" w:ascii="宋体" w:hAnsi="宋体" w:eastAsia="宋体" w:cs="宋体"/>
                <w:i w:val="0"/>
                <w:iCs w:val="0"/>
                <w:color w:val="000000"/>
                <w:sz w:val="21"/>
                <w:szCs w:val="21"/>
                <w:highlight w:val="none"/>
                <w:u w:val="none"/>
              </w:rPr>
            </w:r>
            <w:r/>
          </w:p>
        </w:tc>
        <w:tc>
          <w:tcPr>
            <w:shd w:val="clear" w:color="ffffff" w:fill="ffffff"/>
            <w:tcW w:w="549" w:type="dxa"/>
            <w:vAlign w:val="center"/>
            <w:textDirection w:val="lrTb"/>
            <w:noWrap w:val="false"/>
          </w:tcPr>
          <w:p>
            <w:pPr>
              <w:pStyle w:val="801"/>
              <w:jc w:val="center"/>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rPr>
                <w:rFonts w:hint="eastAsia" w:ascii="宋体" w:hAnsi="宋体" w:eastAsia="宋体" w:cs="宋体"/>
                <w:i w:val="0"/>
                <w:iCs w:val="0"/>
                <w:color w:val="000000"/>
                <w:sz w:val="21"/>
                <w:szCs w:val="21"/>
                <w:highlight w:val="none"/>
                <w:u w:val="none"/>
              </w:rPr>
            </w:r>
            <w:r/>
          </w:p>
        </w:tc>
        <w:tc>
          <w:tcPr>
            <w:shd w:val="clear" w:color="ffffff" w:fill="ffffff"/>
            <w:tcW w:w="840" w:type="dxa"/>
            <w:vAlign w:val="center"/>
            <w:textDirection w:val="lrTb"/>
            <w:noWrap w:val="false"/>
          </w:tcPr>
          <w:p>
            <w:pPr>
              <w:pStyle w:val="801"/>
              <w:jc w:val="right"/>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w:t>
            </w:r>
            <w:r>
              <w:rPr>
                <w:rFonts w:hint="eastAsia" w:ascii="宋体" w:hAnsi="宋体" w:eastAsia="宋体" w:cs="宋体"/>
                <w:i w:val="0"/>
                <w:iCs w:val="0"/>
                <w:color w:val="000000"/>
                <w:sz w:val="21"/>
                <w:szCs w:val="21"/>
                <w:highlight w:val="none"/>
                <w:u w:val="none"/>
              </w:rPr>
            </w:r>
            <w:r/>
          </w:p>
        </w:tc>
      </w:tr>
      <w:tr>
        <w:trPr>
          <w:trHeight w:val="987"/>
        </w:trPr>
        <w:tc>
          <w:tcPr>
            <w:shd w:val="clear" w:color="ffffff" w:fill="ffffff"/>
            <w:tcW w:w="430" w:type="dxa"/>
            <w:vAlign w:val="center"/>
            <w:textDirection w:val="lrTb"/>
            <w:noWrap w:val="false"/>
          </w:tcPr>
          <w:p>
            <w:pPr>
              <w:pStyle w:val="801"/>
              <w:jc w:val="center"/>
              <w:keepLines w:val="0"/>
              <w:keepNext w:val="0"/>
              <w:pageBreakBefore w:val="0"/>
              <w:spacing w:line="276" w:lineRule="auto"/>
              <w:widowControl w:val="off"/>
              <w:rPr>
                <w:rFonts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49</w:t>
            </w:r>
            <w:r>
              <w:rPr>
                <w:rFonts w:ascii="宋体" w:hAnsi="宋体" w:eastAsia="宋体" w:cs="宋体"/>
                <w:i w:val="0"/>
                <w:iCs w:val="0"/>
                <w:color w:val="000000"/>
                <w:sz w:val="21"/>
                <w:szCs w:val="21"/>
                <w:highlight w:val="none"/>
                <w:u w:val="none"/>
                <w:lang w:val="en-US"/>
              </w:rPr>
            </w:r>
            <w:r/>
          </w:p>
        </w:tc>
        <w:tc>
          <w:tcPr>
            <w:shd w:val="clear" w:color="ffffff" w:fill="ffffff"/>
            <w:tcW w:w="1160" w:type="dxa"/>
            <w:vAlign w:val="center"/>
            <w:textDirection w:val="lrTb"/>
            <w:noWrap w:val="false"/>
          </w:tcPr>
          <w:p>
            <w:pPr>
              <w:pStyle w:val="801"/>
              <w:jc w:val="center"/>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电缆YJV 5*2.5</w:t>
            </w:r>
            <w:r>
              <w:rPr>
                <w:rFonts w:hint="eastAsia" w:ascii="宋体" w:hAnsi="宋体" w:eastAsia="宋体" w:cs="宋体"/>
                <w:i w:val="0"/>
                <w:iCs w:val="0"/>
                <w:color w:val="000000"/>
                <w:sz w:val="21"/>
                <w:szCs w:val="21"/>
                <w:highlight w:val="none"/>
                <w:u w:val="none"/>
              </w:rPr>
            </w:r>
            <w:r/>
          </w:p>
        </w:tc>
        <w:tc>
          <w:tcPr>
            <w:shd w:val="clear" w:color="ffffff" w:fill="ffffff"/>
            <w:tcW w:w="6120" w:type="dxa"/>
            <w:vAlign w:val="center"/>
            <w:textDirection w:val="lrTb"/>
            <w:noWrap w:val="false"/>
          </w:tcPr>
          <w:p>
            <w:pPr>
              <w:pStyle w:val="801"/>
              <w:jc w:val="left"/>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1.规格:YJV 5*2.5</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2.敷设方式、部位:电缆沟、桥架敷设</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lang w:val="en-US" w:eastAsia="zh-CN" w:bidi="ar"/>
              </w:rPr>
              <w:t xml:space="preserve">技术</w:t>
            </w:r>
            <w:r>
              <w:rPr>
                <w:rFonts w:hint="eastAsia" w:ascii="宋体" w:hAnsi="宋体" w:eastAsia="宋体" w:cs="宋体"/>
                <w:i w:val="0"/>
                <w:iCs w:val="0"/>
                <w:color w:val="000000"/>
                <w:sz w:val="21"/>
                <w:szCs w:val="21"/>
                <w:highlight w:val="none"/>
                <w:u w:val="none"/>
                <w:lang w:val="en-US" w:eastAsia="zh-CN" w:bidi="ar"/>
              </w:rPr>
              <w:t xml:space="preserve">要求:详见工程量清单编制说明及投标报价要求。</w:t>
            </w:r>
            <w:r>
              <w:rPr>
                <w:rFonts w:hint="eastAsia" w:ascii="宋体" w:hAnsi="宋体" w:eastAsia="宋体" w:cs="宋体"/>
                <w:i w:val="0"/>
                <w:iCs w:val="0"/>
                <w:color w:val="000000"/>
                <w:sz w:val="21"/>
                <w:szCs w:val="21"/>
                <w:highlight w:val="none"/>
                <w:u w:val="none"/>
              </w:rPr>
            </w:r>
            <w:r/>
          </w:p>
        </w:tc>
        <w:tc>
          <w:tcPr>
            <w:shd w:val="clear" w:color="ffffff" w:fill="ffffff"/>
            <w:tcW w:w="549" w:type="dxa"/>
            <w:vAlign w:val="center"/>
            <w:textDirection w:val="lrTb"/>
            <w:noWrap w:val="false"/>
          </w:tcPr>
          <w:p>
            <w:pPr>
              <w:pStyle w:val="801"/>
              <w:jc w:val="center"/>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rPr>
                <w:rFonts w:hint="eastAsia" w:ascii="宋体" w:hAnsi="宋体" w:eastAsia="宋体" w:cs="宋体"/>
                <w:i w:val="0"/>
                <w:iCs w:val="0"/>
                <w:color w:val="000000"/>
                <w:sz w:val="21"/>
                <w:szCs w:val="21"/>
                <w:highlight w:val="none"/>
                <w:u w:val="none"/>
              </w:rPr>
            </w:r>
            <w:r/>
          </w:p>
        </w:tc>
        <w:tc>
          <w:tcPr>
            <w:shd w:val="clear" w:color="ffffff" w:fill="ffffff"/>
            <w:tcW w:w="840" w:type="dxa"/>
            <w:vAlign w:val="center"/>
            <w:textDirection w:val="lrTb"/>
            <w:noWrap w:val="false"/>
          </w:tcPr>
          <w:p>
            <w:pPr>
              <w:pStyle w:val="801"/>
              <w:jc w:val="right"/>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200</w:t>
            </w:r>
            <w:r>
              <w:rPr>
                <w:rFonts w:hint="eastAsia" w:ascii="宋体" w:hAnsi="宋体" w:eastAsia="宋体" w:cs="宋体"/>
                <w:i w:val="0"/>
                <w:iCs w:val="0"/>
                <w:color w:val="000000"/>
                <w:sz w:val="21"/>
                <w:szCs w:val="21"/>
                <w:highlight w:val="none"/>
                <w:u w:val="none"/>
              </w:rPr>
            </w:r>
            <w:r/>
          </w:p>
        </w:tc>
      </w:tr>
      <w:tr>
        <w:trPr>
          <w:trHeight w:val="1287"/>
        </w:trPr>
        <w:tc>
          <w:tcPr>
            <w:shd w:val="clear" w:color="ffffff" w:fill="ffffff"/>
            <w:tcW w:w="430" w:type="dxa"/>
            <w:vAlign w:val="center"/>
            <w:textDirection w:val="lrTb"/>
            <w:noWrap w:val="false"/>
          </w:tcPr>
          <w:p>
            <w:pPr>
              <w:pStyle w:val="801"/>
              <w:jc w:val="center"/>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w:t>
            </w:r>
            <w:r>
              <w:rPr>
                <w:rFonts w:hint="eastAsia" w:ascii="宋体" w:hAnsi="宋体" w:eastAsia="宋体" w:cs="宋体"/>
                <w:i w:val="0"/>
                <w:iCs w:val="0"/>
                <w:color w:val="000000"/>
                <w:sz w:val="21"/>
                <w:szCs w:val="21"/>
                <w:highlight w:val="none"/>
                <w:u w:val="none"/>
              </w:rPr>
            </w:r>
            <w:r/>
          </w:p>
        </w:tc>
        <w:tc>
          <w:tcPr>
            <w:shd w:val="clear" w:color="ffffff" w:fill="ffffff"/>
            <w:tcW w:w="1160" w:type="dxa"/>
            <w:vAlign w:val="center"/>
            <w:textDirection w:val="lrTb"/>
            <w:noWrap w:val="false"/>
          </w:tcPr>
          <w:p>
            <w:pPr>
              <w:pStyle w:val="801"/>
              <w:jc w:val="center"/>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48芯单模光缆</w:t>
            </w:r>
            <w:r>
              <w:rPr>
                <w:rFonts w:hint="eastAsia" w:ascii="宋体" w:hAnsi="宋体" w:eastAsia="宋体" w:cs="宋体"/>
                <w:i w:val="0"/>
                <w:iCs w:val="0"/>
                <w:color w:val="000000"/>
                <w:sz w:val="21"/>
                <w:szCs w:val="21"/>
                <w:highlight w:val="none"/>
                <w:u w:val="none"/>
              </w:rPr>
            </w:r>
            <w:r/>
          </w:p>
        </w:tc>
        <w:tc>
          <w:tcPr>
            <w:shd w:val="clear" w:color="ffffff" w:fill="ffffff"/>
            <w:tcW w:w="6120" w:type="dxa"/>
            <w:vAlign w:val="center"/>
            <w:textDirection w:val="lrTb"/>
            <w:noWrap w:val="false"/>
          </w:tcPr>
          <w:p>
            <w:pPr>
              <w:pStyle w:val="801"/>
              <w:jc w:val="left"/>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1.敷设方式:每个灯杆处引出8芯至弱电箱，含配套接头盒、8根 5m 成品尾纤、标签制作、所有光缆熔接及配套设施。</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2.敷设方式、部位:电缆沟、桥架敷设</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lang w:val="en-US" w:eastAsia="zh-CN" w:bidi="ar"/>
              </w:rPr>
              <w:t xml:space="preserve">技术</w:t>
            </w:r>
            <w:r>
              <w:rPr>
                <w:rFonts w:hint="eastAsia" w:ascii="宋体" w:hAnsi="宋体" w:eastAsia="宋体" w:cs="宋体"/>
                <w:i w:val="0"/>
                <w:iCs w:val="0"/>
                <w:color w:val="000000"/>
                <w:sz w:val="21"/>
                <w:szCs w:val="21"/>
                <w:highlight w:val="none"/>
                <w:u w:val="none"/>
                <w:lang w:val="en-US" w:eastAsia="zh-CN" w:bidi="ar"/>
              </w:rPr>
              <w:t xml:space="preserve">要求:详见工程量清单编制说明及投标报价要求。</w:t>
            </w:r>
            <w:r>
              <w:rPr>
                <w:rFonts w:hint="eastAsia" w:ascii="宋体" w:hAnsi="宋体" w:eastAsia="宋体" w:cs="宋体"/>
                <w:i w:val="0"/>
                <w:iCs w:val="0"/>
                <w:color w:val="000000"/>
                <w:sz w:val="21"/>
                <w:szCs w:val="21"/>
                <w:highlight w:val="none"/>
                <w:u w:val="none"/>
              </w:rPr>
            </w:r>
            <w:r/>
          </w:p>
        </w:tc>
        <w:tc>
          <w:tcPr>
            <w:shd w:val="clear" w:color="ffffff" w:fill="ffffff"/>
            <w:tcW w:w="549" w:type="dxa"/>
            <w:vAlign w:val="center"/>
            <w:textDirection w:val="lrTb"/>
            <w:noWrap w:val="false"/>
          </w:tcPr>
          <w:p>
            <w:pPr>
              <w:pStyle w:val="801"/>
              <w:jc w:val="center"/>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rPr>
                <w:rFonts w:hint="eastAsia" w:ascii="宋体" w:hAnsi="宋体" w:eastAsia="宋体" w:cs="宋体"/>
                <w:i w:val="0"/>
                <w:iCs w:val="0"/>
                <w:color w:val="000000"/>
                <w:sz w:val="21"/>
                <w:szCs w:val="21"/>
                <w:highlight w:val="none"/>
                <w:u w:val="none"/>
              </w:rPr>
            </w:r>
            <w:r/>
          </w:p>
        </w:tc>
        <w:tc>
          <w:tcPr>
            <w:shd w:val="clear" w:color="ffffff" w:fill="ffffff"/>
            <w:tcW w:w="840" w:type="dxa"/>
            <w:vAlign w:val="center"/>
            <w:textDirection w:val="lrTb"/>
            <w:noWrap w:val="false"/>
          </w:tcPr>
          <w:p>
            <w:pPr>
              <w:pStyle w:val="801"/>
              <w:jc w:val="right"/>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1020</w:t>
            </w:r>
            <w:r>
              <w:rPr>
                <w:rFonts w:hint="eastAsia" w:ascii="宋体" w:hAnsi="宋体" w:eastAsia="宋体" w:cs="宋体"/>
                <w:i w:val="0"/>
                <w:iCs w:val="0"/>
                <w:color w:val="000000"/>
                <w:sz w:val="21"/>
                <w:szCs w:val="21"/>
                <w:highlight w:val="none"/>
                <w:u w:val="none"/>
              </w:rPr>
            </w:r>
            <w:r/>
          </w:p>
        </w:tc>
      </w:tr>
      <w:tr>
        <w:trPr>
          <w:trHeight w:val="636"/>
        </w:trPr>
        <w:tc>
          <w:tcPr>
            <w:shd w:val="clear" w:color="ffffff" w:fill="ffffff"/>
            <w:tcW w:w="430" w:type="dxa"/>
            <w:vAlign w:val="center"/>
            <w:textDirection w:val="lrTb"/>
            <w:noWrap w:val="false"/>
          </w:tcPr>
          <w:p>
            <w:pPr>
              <w:pStyle w:val="801"/>
              <w:jc w:val="center"/>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51</w:t>
            </w:r>
            <w:r>
              <w:rPr>
                <w:rFonts w:hint="eastAsia" w:ascii="宋体" w:hAnsi="宋体" w:eastAsia="宋体" w:cs="宋体"/>
                <w:i w:val="0"/>
                <w:iCs w:val="0"/>
                <w:color w:val="000000"/>
                <w:sz w:val="21"/>
                <w:szCs w:val="21"/>
                <w:highlight w:val="none"/>
                <w:u w:val="none"/>
              </w:rPr>
            </w:r>
            <w:r/>
          </w:p>
        </w:tc>
        <w:tc>
          <w:tcPr>
            <w:shd w:val="clear" w:color="ffffff" w:fill="ffffff"/>
            <w:tcW w:w="1160" w:type="dxa"/>
            <w:vAlign w:val="center"/>
            <w:textDirection w:val="lrTb"/>
            <w:noWrap w:val="false"/>
          </w:tcPr>
          <w:p>
            <w:pPr>
              <w:pStyle w:val="801"/>
              <w:jc w:val="center"/>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PE 管</w:t>
            </w:r>
            <w:r>
              <w:rPr>
                <w:rFonts w:hint="eastAsia" w:ascii="宋体" w:hAnsi="宋体" w:eastAsia="宋体" w:cs="宋体"/>
                <w:i w:val="0"/>
                <w:iCs w:val="0"/>
                <w:color w:val="000000"/>
                <w:sz w:val="21"/>
                <w:szCs w:val="21"/>
                <w:highlight w:val="none"/>
                <w:u w:val="none"/>
              </w:rPr>
            </w:r>
            <w:r/>
          </w:p>
        </w:tc>
        <w:tc>
          <w:tcPr>
            <w:shd w:val="clear" w:color="ffffff" w:fill="ffffff"/>
            <w:tcW w:w="6120" w:type="dxa"/>
            <w:vAlign w:val="center"/>
            <w:textDirection w:val="lrTb"/>
            <w:noWrap w:val="false"/>
          </w:tcPr>
          <w:p>
            <w:pPr>
              <w:pStyle w:val="801"/>
              <w:jc w:val="left"/>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1.规格型号:D50PE 管，管壁厚3mm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lang w:val="en-US" w:eastAsia="zh-CN" w:bidi="ar"/>
              </w:rPr>
              <w:t xml:space="preserve">技术</w:t>
            </w:r>
            <w:r>
              <w:rPr>
                <w:rFonts w:hint="eastAsia" w:ascii="宋体" w:hAnsi="宋体" w:eastAsia="宋体" w:cs="宋体"/>
                <w:i w:val="0"/>
                <w:iCs w:val="0"/>
                <w:color w:val="000000"/>
                <w:sz w:val="21"/>
                <w:szCs w:val="21"/>
                <w:highlight w:val="none"/>
                <w:u w:val="none"/>
                <w:lang w:val="en-US" w:eastAsia="zh-CN" w:bidi="ar"/>
              </w:rPr>
              <w:t xml:space="preserve">要求:详见工程量清单编制说明及投标报价要求。</w:t>
            </w:r>
            <w:r>
              <w:rPr>
                <w:rFonts w:hint="eastAsia" w:ascii="宋体" w:hAnsi="宋体" w:eastAsia="宋体" w:cs="宋体"/>
                <w:i w:val="0"/>
                <w:iCs w:val="0"/>
                <w:color w:val="000000"/>
                <w:sz w:val="21"/>
                <w:szCs w:val="21"/>
                <w:highlight w:val="none"/>
                <w:u w:val="none"/>
              </w:rPr>
            </w:r>
            <w:r/>
          </w:p>
        </w:tc>
        <w:tc>
          <w:tcPr>
            <w:shd w:val="clear" w:color="ffffff" w:fill="ffffff"/>
            <w:tcW w:w="549" w:type="dxa"/>
            <w:vAlign w:val="center"/>
            <w:textDirection w:val="lrTb"/>
            <w:noWrap w:val="false"/>
          </w:tcPr>
          <w:p>
            <w:pPr>
              <w:pStyle w:val="801"/>
              <w:jc w:val="center"/>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rPr>
                <w:rFonts w:hint="eastAsia" w:ascii="宋体" w:hAnsi="宋体" w:eastAsia="宋体" w:cs="宋体"/>
                <w:i w:val="0"/>
                <w:iCs w:val="0"/>
                <w:color w:val="000000"/>
                <w:sz w:val="21"/>
                <w:szCs w:val="21"/>
                <w:highlight w:val="none"/>
                <w:u w:val="none"/>
              </w:rPr>
            </w:r>
            <w:r/>
          </w:p>
        </w:tc>
        <w:tc>
          <w:tcPr>
            <w:shd w:val="clear" w:color="ffffff" w:fill="ffffff"/>
            <w:tcW w:w="840" w:type="dxa"/>
            <w:vAlign w:val="center"/>
            <w:textDirection w:val="lrTb"/>
            <w:noWrap w:val="false"/>
          </w:tcPr>
          <w:p>
            <w:pPr>
              <w:pStyle w:val="801"/>
              <w:jc w:val="right"/>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80</w:t>
            </w:r>
            <w:r>
              <w:rPr>
                <w:rFonts w:hint="eastAsia" w:ascii="宋体" w:hAnsi="宋体" w:eastAsia="宋体" w:cs="宋体"/>
                <w:i w:val="0"/>
                <w:iCs w:val="0"/>
                <w:color w:val="000000"/>
                <w:sz w:val="21"/>
                <w:szCs w:val="21"/>
                <w:highlight w:val="none"/>
                <w:u w:val="none"/>
              </w:rPr>
            </w:r>
            <w:r/>
          </w:p>
        </w:tc>
      </w:tr>
      <w:tr>
        <w:trPr>
          <w:trHeight w:val="569"/>
        </w:trPr>
        <w:tc>
          <w:tcPr>
            <w:shd w:val="clear" w:color="ffffff" w:fill="ffffff"/>
            <w:tcW w:w="430" w:type="dxa"/>
            <w:vAlign w:val="center"/>
            <w:textDirection w:val="lrTb"/>
            <w:noWrap w:val="false"/>
          </w:tcPr>
          <w:p>
            <w:pPr>
              <w:pStyle w:val="801"/>
              <w:jc w:val="center"/>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52</w:t>
            </w:r>
            <w:r>
              <w:rPr>
                <w:rFonts w:hint="eastAsia" w:ascii="宋体" w:hAnsi="宋体" w:eastAsia="宋体" w:cs="宋体"/>
                <w:i w:val="0"/>
                <w:iCs w:val="0"/>
                <w:color w:val="000000"/>
                <w:sz w:val="21"/>
                <w:szCs w:val="21"/>
                <w:highlight w:val="none"/>
                <w:u w:val="none"/>
              </w:rPr>
            </w:r>
            <w:r/>
          </w:p>
        </w:tc>
        <w:tc>
          <w:tcPr>
            <w:shd w:val="clear" w:color="ffffff" w:fill="ffffff"/>
            <w:tcW w:w="1160" w:type="dxa"/>
            <w:vAlign w:val="center"/>
            <w:textDirection w:val="lrTb"/>
            <w:noWrap w:val="false"/>
          </w:tcPr>
          <w:p>
            <w:pPr>
              <w:pStyle w:val="801"/>
              <w:jc w:val="center"/>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PVC 管</w:t>
            </w:r>
            <w:r>
              <w:rPr>
                <w:rFonts w:hint="eastAsia" w:ascii="宋体" w:hAnsi="宋体" w:eastAsia="宋体" w:cs="宋体"/>
                <w:i w:val="0"/>
                <w:iCs w:val="0"/>
                <w:color w:val="000000"/>
                <w:sz w:val="21"/>
                <w:szCs w:val="21"/>
                <w:highlight w:val="none"/>
                <w:u w:val="none"/>
              </w:rPr>
            </w:r>
            <w:r/>
          </w:p>
        </w:tc>
        <w:tc>
          <w:tcPr>
            <w:shd w:val="clear" w:color="ffffff" w:fill="ffffff"/>
            <w:tcW w:w="6120" w:type="dxa"/>
            <w:vAlign w:val="center"/>
            <w:textDirection w:val="lrTb"/>
            <w:noWrap w:val="false"/>
          </w:tcPr>
          <w:p>
            <w:pPr>
              <w:pStyle w:val="801"/>
              <w:jc w:val="left"/>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1.规格型号:D50PVC 管</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lang w:val="en-US" w:eastAsia="zh-CN" w:bidi="ar"/>
              </w:rPr>
              <w:t xml:space="preserve">技术</w:t>
            </w:r>
            <w:r>
              <w:rPr>
                <w:rFonts w:hint="eastAsia" w:ascii="宋体" w:hAnsi="宋体" w:eastAsia="宋体" w:cs="宋体"/>
                <w:i w:val="0"/>
                <w:iCs w:val="0"/>
                <w:color w:val="000000"/>
                <w:sz w:val="21"/>
                <w:szCs w:val="21"/>
                <w:highlight w:val="none"/>
                <w:u w:val="none"/>
                <w:lang w:val="en-US" w:eastAsia="zh-CN" w:bidi="ar"/>
              </w:rPr>
              <w:t xml:space="preserve">要求:详见工程量清单编制说明及投标报价要求。</w:t>
            </w:r>
            <w:r>
              <w:rPr>
                <w:rFonts w:hint="eastAsia" w:ascii="宋体" w:hAnsi="宋体" w:eastAsia="宋体" w:cs="宋体"/>
                <w:i w:val="0"/>
                <w:iCs w:val="0"/>
                <w:color w:val="000000"/>
                <w:sz w:val="21"/>
                <w:szCs w:val="21"/>
                <w:highlight w:val="none"/>
                <w:u w:val="none"/>
              </w:rPr>
            </w:r>
            <w:r/>
          </w:p>
        </w:tc>
        <w:tc>
          <w:tcPr>
            <w:shd w:val="clear" w:color="ffffff" w:fill="ffffff"/>
            <w:tcW w:w="549" w:type="dxa"/>
            <w:vAlign w:val="center"/>
            <w:textDirection w:val="lrTb"/>
            <w:noWrap w:val="false"/>
          </w:tcPr>
          <w:p>
            <w:pPr>
              <w:pStyle w:val="801"/>
              <w:jc w:val="center"/>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rPr>
                <w:rFonts w:hint="eastAsia" w:ascii="宋体" w:hAnsi="宋体" w:eastAsia="宋体" w:cs="宋体"/>
                <w:i w:val="0"/>
                <w:iCs w:val="0"/>
                <w:color w:val="000000"/>
                <w:sz w:val="21"/>
                <w:szCs w:val="21"/>
                <w:highlight w:val="none"/>
                <w:u w:val="none"/>
              </w:rPr>
            </w:r>
            <w:r/>
          </w:p>
        </w:tc>
        <w:tc>
          <w:tcPr>
            <w:shd w:val="clear" w:color="ffffff" w:fill="ffffff"/>
            <w:tcW w:w="840" w:type="dxa"/>
            <w:vAlign w:val="center"/>
            <w:textDirection w:val="lrTb"/>
            <w:noWrap w:val="false"/>
          </w:tcPr>
          <w:p>
            <w:pPr>
              <w:pStyle w:val="801"/>
              <w:jc w:val="right"/>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80</w:t>
            </w:r>
            <w:r>
              <w:rPr>
                <w:rFonts w:hint="eastAsia" w:ascii="宋体" w:hAnsi="宋体" w:eastAsia="宋体" w:cs="宋体"/>
                <w:i w:val="0"/>
                <w:iCs w:val="0"/>
                <w:color w:val="000000"/>
                <w:sz w:val="21"/>
                <w:szCs w:val="21"/>
                <w:highlight w:val="none"/>
                <w:u w:val="none"/>
              </w:rPr>
            </w:r>
            <w:r/>
          </w:p>
        </w:tc>
      </w:tr>
      <w:tr>
        <w:trPr>
          <w:trHeight w:val="559"/>
        </w:trPr>
        <w:tc>
          <w:tcPr>
            <w:shd w:val="clear" w:color="ffffff" w:fill="ffffff"/>
            <w:tcW w:w="430" w:type="dxa"/>
            <w:vAlign w:val="center"/>
            <w:textDirection w:val="lrTb"/>
            <w:noWrap w:val="false"/>
          </w:tcPr>
          <w:p>
            <w:pPr>
              <w:pStyle w:val="801"/>
              <w:jc w:val="center"/>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53</w:t>
            </w:r>
            <w:r>
              <w:rPr>
                <w:rFonts w:hint="eastAsia" w:ascii="宋体" w:hAnsi="宋体" w:eastAsia="宋体" w:cs="宋体"/>
                <w:i w:val="0"/>
                <w:iCs w:val="0"/>
                <w:color w:val="000000"/>
                <w:sz w:val="21"/>
                <w:szCs w:val="21"/>
                <w:highlight w:val="none"/>
                <w:u w:val="none"/>
              </w:rPr>
            </w:r>
            <w:r/>
          </w:p>
        </w:tc>
        <w:tc>
          <w:tcPr>
            <w:shd w:val="clear" w:color="ffffff" w:fill="ffffff"/>
            <w:tcW w:w="1160" w:type="dxa"/>
            <w:vAlign w:val="center"/>
            <w:textDirection w:val="lrTb"/>
            <w:noWrap w:val="false"/>
          </w:tcPr>
          <w:p>
            <w:pPr>
              <w:pStyle w:val="801"/>
              <w:jc w:val="center"/>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304不锈钢波纹管</w:t>
            </w:r>
            <w:r>
              <w:rPr>
                <w:rFonts w:hint="eastAsia" w:ascii="宋体" w:hAnsi="宋体" w:eastAsia="宋体" w:cs="宋体"/>
                <w:i w:val="0"/>
                <w:iCs w:val="0"/>
                <w:color w:val="000000"/>
                <w:sz w:val="21"/>
                <w:szCs w:val="21"/>
                <w:highlight w:val="none"/>
                <w:u w:val="none"/>
              </w:rPr>
            </w:r>
            <w:r/>
          </w:p>
        </w:tc>
        <w:tc>
          <w:tcPr>
            <w:shd w:val="clear" w:color="ffffff" w:fill="ffffff"/>
            <w:tcW w:w="6120" w:type="dxa"/>
            <w:vAlign w:val="center"/>
            <w:textDirection w:val="lrTb"/>
            <w:noWrap w:val="false"/>
          </w:tcPr>
          <w:p>
            <w:pPr>
              <w:pStyle w:val="801"/>
              <w:jc w:val="left"/>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1.规格型号:DN32304不锈钢波纹管</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lang w:val="en-US" w:eastAsia="zh-CN" w:bidi="ar"/>
              </w:rPr>
              <w:t xml:space="preserve">技术</w:t>
            </w:r>
            <w:r>
              <w:rPr>
                <w:rFonts w:hint="eastAsia" w:ascii="宋体" w:hAnsi="宋体" w:eastAsia="宋体" w:cs="宋体"/>
                <w:i w:val="0"/>
                <w:iCs w:val="0"/>
                <w:color w:val="000000"/>
                <w:sz w:val="21"/>
                <w:szCs w:val="21"/>
                <w:highlight w:val="none"/>
                <w:u w:val="none"/>
                <w:lang w:val="en-US" w:eastAsia="zh-CN" w:bidi="ar"/>
              </w:rPr>
              <w:t xml:space="preserve">要求:详见工程量清单编制说明及投标报价要求。</w:t>
            </w:r>
            <w:r>
              <w:rPr>
                <w:rFonts w:hint="eastAsia" w:ascii="宋体" w:hAnsi="宋体" w:eastAsia="宋体" w:cs="宋体"/>
                <w:i w:val="0"/>
                <w:iCs w:val="0"/>
                <w:color w:val="000000"/>
                <w:sz w:val="21"/>
                <w:szCs w:val="21"/>
                <w:highlight w:val="none"/>
                <w:u w:val="none"/>
              </w:rPr>
            </w:r>
            <w:r/>
          </w:p>
        </w:tc>
        <w:tc>
          <w:tcPr>
            <w:shd w:val="clear" w:color="ffffff" w:fill="ffffff"/>
            <w:tcW w:w="549" w:type="dxa"/>
            <w:vAlign w:val="center"/>
            <w:textDirection w:val="lrTb"/>
            <w:noWrap w:val="false"/>
          </w:tcPr>
          <w:p>
            <w:pPr>
              <w:pStyle w:val="801"/>
              <w:jc w:val="center"/>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rPr>
                <w:rFonts w:hint="eastAsia" w:ascii="宋体" w:hAnsi="宋体" w:eastAsia="宋体" w:cs="宋体"/>
                <w:i w:val="0"/>
                <w:iCs w:val="0"/>
                <w:color w:val="000000"/>
                <w:sz w:val="21"/>
                <w:szCs w:val="21"/>
                <w:highlight w:val="none"/>
                <w:u w:val="none"/>
              </w:rPr>
            </w:r>
            <w:r/>
          </w:p>
        </w:tc>
        <w:tc>
          <w:tcPr>
            <w:shd w:val="clear" w:color="ffffff" w:fill="ffffff"/>
            <w:tcW w:w="840" w:type="dxa"/>
            <w:vAlign w:val="center"/>
            <w:textDirection w:val="lrTb"/>
            <w:noWrap w:val="false"/>
          </w:tcPr>
          <w:p>
            <w:pPr>
              <w:pStyle w:val="801"/>
              <w:jc w:val="right"/>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w:t>
            </w:r>
            <w:r>
              <w:rPr>
                <w:rFonts w:hint="eastAsia" w:ascii="宋体" w:hAnsi="宋体" w:eastAsia="宋体" w:cs="宋体"/>
                <w:i w:val="0"/>
                <w:iCs w:val="0"/>
                <w:color w:val="000000"/>
                <w:sz w:val="21"/>
                <w:szCs w:val="21"/>
                <w:highlight w:val="none"/>
                <w:u w:val="none"/>
              </w:rPr>
            </w:r>
            <w:r/>
          </w:p>
        </w:tc>
      </w:tr>
      <w:tr>
        <w:trPr>
          <w:trHeight w:val="796"/>
        </w:trPr>
        <w:tc>
          <w:tcPr>
            <w:shd w:val="clear" w:color="ffffff" w:fill="ffffff"/>
            <w:tcW w:w="430" w:type="dxa"/>
            <w:vAlign w:val="center"/>
            <w:textDirection w:val="lrTb"/>
            <w:noWrap w:val="false"/>
          </w:tcPr>
          <w:p>
            <w:pPr>
              <w:pStyle w:val="801"/>
              <w:jc w:val="center"/>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54</w:t>
            </w:r>
            <w:r>
              <w:rPr>
                <w:rFonts w:hint="eastAsia" w:ascii="宋体" w:hAnsi="宋体" w:eastAsia="宋体" w:cs="宋体"/>
                <w:i w:val="0"/>
                <w:iCs w:val="0"/>
                <w:color w:val="000000"/>
                <w:sz w:val="21"/>
                <w:szCs w:val="21"/>
                <w:highlight w:val="none"/>
                <w:u w:val="none"/>
              </w:rPr>
            </w:r>
            <w:r/>
          </w:p>
        </w:tc>
        <w:tc>
          <w:tcPr>
            <w:shd w:val="clear" w:color="ffffff" w:fill="ffffff"/>
            <w:tcW w:w="1160" w:type="dxa"/>
            <w:vAlign w:val="center"/>
            <w:textDirection w:val="lrTb"/>
            <w:noWrap w:val="false"/>
          </w:tcPr>
          <w:p>
            <w:pPr>
              <w:pStyle w:val="801"/>
              <w:jc w:val="center"/>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水位管制作安装</w:t>
            </w:r>
            <w:r>
              <w:rPr>
                <w:rFonts w:hint="eastAsia" w:ascii="宋体" w:hAnsi="宋体" w:eastAsia="宋体" w:cs="宋体"/>
                <w:i w:val="0"/>
                <w:iCs w:val="0"/>
                <w:color w:val="000000"/>
                <w:sz w:val="21"/>
                <w:szCs w:val="21"/>
                <w:highlight w:val="none"/>
                <w:u w:val="none"/>
              </w:rPr>
            </w:r>
            <w:r/>
          </w:p>
        </w:tc>
        <w:tc>
          <w:tcPr>
            <w:shd w:val="clear" w:color="ffffff" w:fill="ffffff"/>
            <w:tcW w:w="6120" w:type="dxa"/>
            <w:vAlign w:val="center"/>
            <w:textDirection w:val="lrTb"/>
            <w:noWrap w:val="false"/>
          </w:tcPr>
          <w:p>
            <w:pPr>
              <w:pStyle w:val="801"/>
              <w:jc w:val="left"/>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1.安装部位:导航墙末端和3号墩处</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2.规格:DN150，壁厚3mm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3.其他说明:含水位管制作与安装以及支架等配套辅材等</w:t>
            </w:r>
            <w:r>
              <w:rPr>
                <w:rFonts w:hint="eastAsia" w:ascii="宋体" w:hAnsi="宋体" w:eastAsia="宋体" w:cs="宋体"/>
                <w:i w:val="0"/>
                <w:iCs w:val="0"/>
                <w:color w:val="000000"/>
                <w:sz w:val="21"/>
                <w:szCs w:val="21"/>
                <w:highlight w:val="none"/>
                <w:u w:val="none"/>
              </w:rPr>
            </w:r>
            <w:r/>
          </w:p>
        </w:tc>
        <w:tc>
          <w:tcPr>
            <w:shd w:val="clear" w:color="ffffff" w:fill="ffffff"/>
            <w:tcW w:w="549" w:type="dxa"/>
            <w:vAlign w:val="center"/>
            <w:textDirection w:val="lrTb"/>
            <w:noWrap w:val="false"/>
          </w:tcPr>
          <w:p>
            <w:pPr>
              <w:pStyle w:val="801"/>
              <w:jc w:val="center"/>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rPr>
                <w:rFonts w:hint="eastAsia" w:ascii="宋体" w:hAnsi="宋体" w:eastAsia="宋体" w:cs="宋体"/>
                <w:i w:val="0"/>
                <w:iCs w:val="0"/>
                <w:color w:val="000000"/>
                <w:sz w:val="21"/>
                <w:szCs w:val="21"/>
                <w:highlight w:val="none"/>
                <w:u w:val="none"/>
              </w:rPr>
            </w:r>
            <w:r/>
          </w:p>
        </w:tc>
        <w:tc>
          <w:tcPr>
            <w:shd w:val="clear" w:color="ffffff" w:fill="ffffff"/>
            <w:tcW w:w="840" w:type="dxa"/>
            <w:vAlign w:val="center"/>
            <w:textDirection w:val="lrTb"/>
            <w:noWrap w:val="false"/>
          </w:tcPr>
          <w:p>
            <w:pPr>
              <w:pStyle w:val="801"/>
              <w:jc w:val="right"/>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w:t>
            </w:r>
            <w:r>
              <w:rPr>
                <w:rFonts w:hint="eastAsia" w:ascii="宋体" w:hAnsi="宋体" w:eastAsia="宋体" w:cs="宋体"/>
                <w:i w:val="0"/>
                <w:iCs w:val="0"/>
                <w:color w:val="000000"/>
                <w:sz w:val="21"/>
                <w:szCs w:val="21"/>
                <w:highlight w:val="none"/>
                <w:u w:val="none"/>
              </w:rPr>
            </w:r>
            <w:r/>
          </w:p>
        </w:tc>
      </w:tr>
      <w:tr>
        <w:trPr>
          <w:trHeight w:val="3810"/>
        </w:trPr>
        <w:tc>
          <w:tcPr>
            <w:shd w:val="clear" w:color="ffffff" w:fill="ffffff"/>
            <w:tcW w:w="430" w:type="dxa"/>
            <w:vAlign w:val="center"/>
            <w:textDirection w:val="lrTb"/>
            <w:noWrap w:val="false"/>
          </w:tcPr>
          <w:p>
            <w:pPr>
              <w:pStyle w:val="801"/>
              <w:jc w:val="center"/>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55</w:t>
            </w:r>
            <w:r>
              <w:rPr>
                <w:rFonts w:hint="eastAsia" w:ascii="宋体" w:hAnsi="宋体" w:eastAsia="宋体" w:cs="宋体"/>
                <w:i w:val="0"/>
                <w:iCs w:val="0"/>
                <w:color w:val="000000"/>
                <w:sz w:val="21"/>
                <w:szCs w:val="21"/>
                <w:highlight w:val="none"/>
                <w:u w:val="none"/>
              </w:rPr>
            </w:r>
            <w:r/>
          </w:p>
        </w:tc>
        <w:tc>
          <w:tcPr>
            <w:shd w:val="clear" w:color="ffffff" w:fill="ffffff"/>
            <w:tcW w:w="1160" w:type="dxa"/>
            <w:vAlign w:val="center"/>
            <w:textDirection w:val="lrTb"/>
            <w:noWrap w:val="false"/>
          </w:tcPr>
          <w:p>
            <w:pPr>
              <w:pStyle w:val="801"/>
              <w:jc w:val="center"/>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碰撞预警系统</w:t>
            </w:r>
            <w:r>
              <w:rPr>
                <w:rFonts w:hint="eastAsia" w:ascii="宋体" w:hAnsi="宋体" w:eastAsia="宋体" w:cs="宋体"/>
                <w:i w:val="0"/>
                <w:iCs w:val="0"/>
                <w:color w:val="000000"/>
                <w:sz w:val="21"/>
                <w:szCs w:val="21"/>
                <w:highlight w:val="none"/>
                <w:u w:val="none"/>
              </w:rPr>
            </w:r>
            <w:r/>
          </w:p>
        </w:tc>
        <w:tc>
          <w:tcPr>
            <w:shd w:val="clear" w:color="ffffff" w:fill="ffffff"/>
            <w:tcW w:w="6120" w:type="dxa"/>
            <w:vAlign w:val="center"/>
            <w:textDirection w:val="lrTb"/>
            <w:noWrap w:val="false"/>
          </w:tcPr>
          <w:p>
            <w:pPr>
              <w:pStyle w:val="801"/>
              <w:jc w:val="left"/>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1.施工部位:4#～15#墩设置。</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2.项目内容:</w:t>
            </w:r>
            <w:r>
              <w:rPr>
                <w:rFonts w:hint="eastAsia" w:ascii="宋体" w:hAnsi="宋体" w:eastAsia="宋体" w:cs="宋体"/>
                <w:i w:val="0"/>
                <w:iCs w:val="0"/>
                <w:color w:val="000000"/>
                <w:sz w:val="21"/>
                <w:szCs w:val="21"/>
                <w:highlight w:val="none"/>
                <w:u w:val="none"/>
                <w:lang w:val="en-US" w:eastAsia="zh-CN" w:bidi="ar"/>
              </w:rPr>
            </w:r>
            <w:r/>
          </w:p>
          <w:p>
            <w:pPr>
              <w:pStyle w:val="801"/>
              <w:jc w:val="left"/>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⑴服务器1项；</w:t>
            </w:r>
            <w:r>
              <w:rPr>
                <w:rFonts w:hint="eastAsia" w:ascii="宋体" w:hAnsi="宋体" w:eastAsia="宋体" w:cs="宋体"/>
                <w:i w:val="0"/>
                <w:iCs w:val="0"/>
                <w:color w:val="000000"/>
                <w:sz w:val="21"/>
                <w:szCs w:val="21"/>
                <w:highlight w:val="none"/>
                <w:u w:val="none"/>
                <w:lang w:val="en-US" w:eastAsia="zh-CN" w:bidi="ar"/>
              </w:rPr>
            </w:r>
            <w:r/>
          </w:p>
          <w:p>
            <w:pPr>
              <w:pStyle w:val="801"/>
              <w:jc w:val="left"/>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⑵撞击传感器12套；</w:t>
            </w:r>
            <w:r>
              <w:rPr>
                <w:rFonts w:hint="eastAsia" w:ascii="宋体" w:hAnsi="宋体" w:eastAsia="宋体" w:cs="宋体"/>
                <w:i w:val="0"/>
                <w:iCs w:val="0"/>
                <w:color w:val="000000"/>
                <w:sz w:val="21"/>
                <w:szCs w:val="21"/>
                <w:highlight w:val="none"/>
                <w:u w:val="none"/>
                <w:lang w:val="en-US" w:eastAsia="zh-CN" w:bidi="ar"/>
              </w:rPr>
            </w:r>
            <w:r/>
          </w:p>
          <w:p>
            <w:pPr>
              <w:pStyle w:val="801"/>
              <w:jc w:val="left"/>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⑶三维位移传感器12套；</w:t>
            </w:r>
            <w:r>
              <w:rPr>
                <w:rFonts w:hint="eastAsia" w:ascii="宋体" w:hAnsi="宋体" w:eastAsia="宋体" w:cs="宋体"/>
                <w:i w:val="0"/>
                <w:iCs w:val="0"/>
                <w:color w:val="000000"/>
                <w:sz w:val="21"/>
                <w:szCs w:val="21"/>
                <w:highlight w:val="none"/>
                <w:u w:val="none"/>
                <w:lang w:val="en-US" w:eastAsia="zh-CN" w:bidi="ar"/>
              </w:rPr>
            </w:r>
            <w:r/>
          </w:p>
          <w:p>
            <w:pPr>
              <w:pStyle w:val="801"/>
              <w:jc w:val="left"/>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⑷抓拍相机1项；</w:t>
            </w:r>
            <w:r>
              <w:rPr>
                <w:rFonts w:hint="eastAsia" w:ascii="宋体" w:hAnsi="宋体" w:eastAsia="宋体" w:cs="宋体"/>
                <w:i w:val="0"/>
                <w:iCs w:val="0"/>
                <w:color w:val="000000"/>
                <w:sz w:val="21"/>
                <w:szCs w:val="21"/>
                <w:highlight w:val="none"/>
                <w:u w:val="none"/>
                <w:lang w:val="en-US" w:eastAsia="zh-CN" w:bidi="ar"/>
              </w:rPr>
            </w:r>
            <w:r/>
          </w:p>
          <w:p>
            <w:pPr>
              <w:pStyle w:val="801"/>
              <w:jc w:val="left"/>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⑸工控机1台；</w:t>
            </w:r>
            <w:r>
              <w:rPr>
                <w:rFonts w:hint="eastAsia" w:ascii="宋体" w:hAnsi="宋体" w:eastAsia="宋体" w:cs="宋体"/>
                <w:i w:val="0"/>
                <w:iCs w:val="0"/>
                <w:color w:val="000000"/>
                <w:sz w:val="21"/>
                <w:szCs w:val="21"/>
                <w:highlight w:val="none"/>
                <w:u w:val="none"/>
                <w:lang w:val="en-US" w:eastAsia="zh-CN" w:bidi="ar"/>
              </w:rPr>
            </w:r>
            <w:r/>
          </w:p>
          <w:p>
            <w:pPr>
              <w:pStyle w:val="801"/>
              <w:jc w:val="left"/>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⑹编码信号箱5套；</w:t>
            </w:r>
            <w:r>
              <w:rPr>
                <w:rFonts w:hint="eastAsia" w:ascii="宋体" w:hAnsi="宋体" w:eastAsia="宋体" w:cs="宋体"/>
                <w:i w:val="0"/>
                <w:iCs w:val="0"/>
                <w:color w:val="000000"/>
                <w:sz w:val="21"/>
                <w:szCs w:val="21"/>
                <w:highlight w:val="none"/>
                <w:u w:val="none"/>
                <w:lang w:val="en-US" w:eastAsia="zh-CN" w:bidi="ar"/>
              </w:rPr>
            </w:r>
            <w:r/>
          </w:p>
          <w:p>
            <w:pPr>
              <w:pStyle w:val="801"/>
              <w:jc w:val="left"/>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⑺工程连接附件1套及配套管线电缆辅助材料1批；</w:t>
            </w:r>
            <w:r>
              <w:rPr>
                <w:rFonts w:hint="eastAsia" w:ascii="宋体" w:hAnsi="宋体" w:eastAsia="宋体" w:cs="宋体"/>
                <w:i w:val="0"/>
                <w:iCs w:val="0"/>
                <w:color w:val="000000"/>
                <w:sz w:val="21"/>
                <w:szCs w:val="21"/>
                <w:highlight w:val="none"/>
                <w:u w:val="none"/>
                <w:lang w:val="en-US" w:eastAsia="zh-CN" w:bidi="ar"/>
              </w:rPr>
            </w:r>
            <w:r/>
          </w:p>
          <w:p>
            <w:pPr>
              <w:pStyle w:val="801"/>
              <w:jc w:val="left"/>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⑻服务端系统软件1套；</w:t>
            </w:r>
            <w:r>
              <w:rPr>
                <w:rFonts w:hint="eastAsia" w:ascii="宋体" w:hAnsi="宋体" w:eastAsia="宋体" w:cs="宋体"/>
                <w:i w:val="0"/>
                <w:iCs w:val="0"/>
                <w:color w:val="000000"/>
                <w:sz w:val="21"/>
                <w:szCs w:val="21"/>
                <w:highlight w:val="none"/>
                <w:u w:val="none"/>
                <w:lang w:val="en-US" w:eastAsia="zh-CN" w:bidi="ar"/>
              </w:rPr>
            </w:r>
            <w:r/>
          </w:p>
          <w:p>
            <w:pPr>
              <w:pStyle w:val="801"/>
              <w:jc w:val="left"/>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⑼手机端小程序客户端软件1套；</w:t>
            </w:r>
            <w:r>
              <w:rPr>
                <w:rFonts w:hint="eastAsia" w:ascii="宋体" w:hAnsi="宋体" w:eastAsia="宋体" w:cs="宋体"/>
                <w:i w:val="0"/>
                <w:iCs w:val="0"/>
                <w:color w:val="000000"/>
                <w:sz w:val="21"/>
                <w:szCs w:val="21"/>
                <w:highlight w:val="none"/>
                <w:u w:val="none"/>
                <w:lang w:val="en-US" w:eastAsia="zh-CN" w:bidi="ar"/>
              </w:rPr>
            </w:r>
            <w:r/>
          </w:p>
          <w:p>
            <w:pPr>
              <w:pStyle w:val="801"/>
              <w:jc w:val="left"/>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⑽云端转发服务器及储存1年；</w:t>
            </w:r>
            <w:r>
              <w:rPr>
                <w:rFonts w:hint="eastAsia" w:ascii="宋体" w:hAnsi="宋体" w:eastAsia="宋体" w:cs="宋体"/>
                <w:i w:val="0"/>
                <w:iCs w:val="0"/>
                <w:color w:val="000000"/>
                <w:sz w:val="21"/>
                <w:szCs w:val="21"/>
                <w:highlight w:val="none"/>
                <w:u w:val="none"/>
                <w:lang w:val="en-US" w:eastAsia="zh-CN" w:bidi="ar"/>
              </w:rPr>
            </w:r>
            <w:r/>
          </w:p>
          <w:p>
            <w:pPr>
              <w:pStyle w:val="801"/>
              <w:jc w:val="left"/>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⑾施工安装调试监测技术服务1项</w:t>
            </w:r>
            <w:r>
              <w:rPr>
                <w:rFonts w:hint="eastAsia" w:ascii="宋体" w:hAnsi="宋体" w:eastAsia="宋体" w:cs="宋体"/>
                <w:i w:val="0"/>
                <w:iCs w:val="0"/>
                <w:color w:val="000000"/>
                <w:sz w:val="21"/>
                <w:szCs w:val="21"/>
                <w:highlight w:val="none"/>
                <w:u w:val="none"/>
                <w:lang w:val="en-US" w:eastAsia="zh-CN" w:bidi="ar"/>
              </w:rPr>
            </w:r>
            <w:r/>
          </w:p>
          <w:p>
            <w:pPr>
              <w:pStyle w:val="801"/>
              <w:jc w:val="left"/>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；⑿系统运行保质缺陷期2年后维护1项/年，</w:t>
            </w:r>
            <w:r>
              <w:rPr>
                <w:rFonts w:hint="eastAsia" w:ascii="宋体" w:hAnsi="宋体" w:eastAsia="宋体" w:cs="宋体"/>
                <w:i w:val="0"/>
                <w:iCs w:val="0"/>
                <w:color w:val="000000"/>
                <w:sz w:val="21"/>
                <w:szCs w:val="21"/>
                <w:highlight w:val="none"/>
                <w:u w:val="none"/>
                <w:lang w:val="en-US" w:eastAsia="zh-CN" w:bidi="ar"/>
              </w:rPr>
            </w:r>
            <w:r/>
          </w:p>
          <w:p>
            <w:pPr>
              <w:pStyle w:val="801"/>
              <w:jc w:val="left"/>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⒀具体要求可根据业主需要适当调整；</w:t>
            </w:r>
            <w:r>
              <w:rPr>
                <w:rFonts w:hint="eastAsia" w:ascii="宋体" w:hAnsi="宋体" w:eastAsia="宋体" w:cs="宋体"/>
                <w:i w:val="0"/>
                <w:iCs w:val="0"/>
                <w:color w:val="000000"/>
                <w:sz w:val="21"/>
                <w:szCs w:val="21"/>
                <w:highlight w:val="none"/>
                <w:u w:val="none"/>
                <w:lang w:val="en-US" w:eastAsia="zh-CN" w:bidi="ar"/>
              </w:rPr>
            </w:r>
            <w:r/>
          </w:p>
          <w:p>
            <w:pPr>
              <w:pStyle w:val="801"/>
              <w:jc w:val="left"/>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⒁具体设备参数，详见设计图纸。</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3.其他说明:相关配套电气可根据不同产品要求及现场条件适当调整，具体实施方案需符合相关规范要求，并报业主认可。</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lang w:val="en-US" w:eastAsia="zh-CN" w:bidi="ar"/>
              </w:rPr>
              <w:t xml:space="preserve">技术</w:t>
            </w:r>
            <w:r>
              <w:rPr>
                <w:rFonts w:hint="eastAsia" w:ascii="宋体" w:hAnsi="宋体" w:eastAsia="宋体" w:cs="宋体"/>
                <w:i w:val="0"/>
                <w:iCs w:val="0"/>
                <w:color w:val="000000"/>
                <w:sz w:val="21"/>
                <w:szCs w:val="21"/>
                <w:highlight w:val="none"/>
                <w:u w:val="none"/>
                <w:lang w:val="en-US" w:eastAsia="zh-CN" w:bidi="ar"/>
              </w:rPr>
              <w:t xml:space="preserve">要求:详见工程量清单编制说明及投标报价要求。</w:t>
            </w:r>
            <w:r>
              <w:rPr>
                <w:rFonts w:hint="eastAsia" w:ascii="宋体" w:hAnsi="宋体" w:eastAsia="宋体" w:cs="宋体"/>
                <w:i w:val="0"/>
                <w:iCs w:val="0"/>
                <w:color w:val="000000"/>
                <w:sz w:val="21"/>
                <w:szCs w:val="21"/>
                <w:highlight w:val="none"/>
                <w:u w:val="none"/>
              </w:rPr>
            </w:r>
            <w:r/>
          </w:p>
        </w:tc>
        <w:tc>
          <w:tcPr>
            <w:shd w:val="clear" w:color="ffffff" w:fill="ffffff"/>
            <w:tcW w:w="549" w:type="dxa"/>
            <w:vAlign w:val="center"/>
            <w:textDirection w:val="lrTb"/>
            <w:noWrap w:val="false"/>
          </w:tcPr>
          <w:p>
            <w:pPr>
              <w:pStyle w:val="801"/>
              <w:jc w:val="center"/>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shd w:val="clear" w:color="ffffff" w:fill="ffffff"/>
            <w:tcW w:w="840" w:type="dxa"/>
            <w:vAlign w:val="center"/>
            <w:textDirection w:val="lrTb"/>
            <w:noWrap w:val="false"/>
          </w:tcPr>
          <w:p>
            <w:pPr>
              <w:pStyle w:val="801"/>
              <w:jc w:val="right"/>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rPr>
                <w:rFonts w:hint="eastAsia" w:ascii="宋体" w:hAnsi="宋体" w:eastAsia="宋体" w:cs="宋体"/>
                <w:i w:val="0"/>
                <w:iCs w:val="0"/>
                <w:color w:val="000000"/>
                <w:sz w:val="21"/>
                <w:szCs w:val="21"/>
                <w:highlight w:val="none"/>
                <w:u w:val="none"/>
              </w:rPr>
            </w:r>
            <w:r/>
          </w:p>
        </w:tc>
      </w:tr>
      <w:tr>
        <w:trPr>
          <w:trHeight w:val="6410"/>
        </w:trPr>
        <w:tc>
          <w:tcPr>
            <w:shd w:val="clear" w:color="ffffff" w:fill="ffffff"/>
            <w:tcW w:w="430" w:type="dxa"/>
            <w:vAlign w:val="center"/>
            <w:textDirection w:val="lrTb"/>
            <w:noWrap w:val="false"/>
          </w:tcPr>
          <w:p>
            <w:pPr>
              <w:pStyle w:val="801"/>
              <w:jc w:val="center"/>
              <w:keepLines w:val="0"/>
              <w:keepNext w:val="0"/>
              <w:pageBreakBefore w:val="0"/>
              <w:spacing w:line="312"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56</w:t>
            </w:r>
            <w:r>
              <w:rPr>
                <w:rFonts w:hint="eastAsia" w:ascii="宋体" w:hAnsi="宋体" w:eastAsia="宋体" w:cs="宋体"/>
                <w:i w:val="0"/>
                <w:iCs w:val="0"/>
                <w:color w:val="000000"/>
                <w:sz w:val="21"/>
                <w:szCs w:val="21"/>
                <w:highlight w:val="none"/>
                <w:u w:val="none"/>
              </w:rPr>
            </w:r>
            <w:r/>
          </w:p>
        </w:tc>
        <w:tc>
          <w:tcPr>
            <w:shd w:val="clear" w:color="ffffff" w:fill="ffffff"/>
            <w:tcW w:w="1160" w:type="dxa"/>
            <w:vAlign w:val="center"/>
            <w:textDirection w:val="lrTb"/>
            <w:noWrap w:val="false"/>
          </w:tcPr>
          <w:p>
            <w:pPr>
              <w:pStyle w:val="801"/>
              <w:jc w:val="center"/>
              <w:keepLines w:val="0"/>
              <w:keepNext w:val="0"/>
              <w:pageBreakBefore w:val="0"/>
              <w:spacing w:line="312"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墩体安全监测系统</w:t>
            </w:r>
            <w:r>
              <w:rPr>
                <w:rFonts w:hint="eastAsia" w:ascii="宋体" w:hAnsi="宋体" w:eastAsia="宋体" w:cs="宋体"/>
                <w:i w:val="0"/>
                <w:iCs w:val="0"/>
                <w:color w:val="000000"/>
                <w:sz w:val="21"/>
                <w:szCs w:val="21"/>
                <w:highlight w:val="none"/>
                <w:u w:val="none"/>
              </w:rPr>
            </w:r>
            <w:r/>
          </w:p>
        </w:tc>
        <w:tc>
          <w:tcPr>
            <w:shd w:val="clear" w:color="ffffff" w:fill="ffffff"/>
            <w:tcW w:w="6120" w:type="dxa"/>
            <w:vAlign w:val="center"/>
            <w:textDirection w:val="lrTb"/>
            <w:noWrap w:val="false"/>
          </w:tcPr>
          <w:p>
            <w:pPr>
              <w:pStyle w:val="801"/>
              <w:jc w:val="left"/>
              <w:keepLines w:val="0"/>
              <w:keepNext w:val="0"/>
              <w:pageBreakBefore w:val="0"/>
              <w:spacing w:line="312" w:lineRule="auto"/>
              <w:widowControl w:val="off"/>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1.施工部位:7#、11#墩设置。</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2.项目内容:</w:t>
            </w:r>
            <w:r>
              <w:rPr>
                <w:rFonts w:hint="eastAsia" w:ascii="宋体" w:hAnsi="宋体" w:eastAsia="宋体" w:cs="宋体"/>
                <w:i w:val="0"/>
                <w:iCs w:val="0"/>
                <w:color w:val="000000"/>
                <w:sz w:val="21"/>
                <w:szCs w:val="21"/>
                <w:highlight w:val="none"/>
                <w:u w:val="none"/>
                <w:lang w:val="en-US" w:eastAsia="zh-CN" w:bidi="ar"/>
              </w:rPr>
            </w:r>
            <w:r/>
          </w:p>
          <w:p>
            <w:pPr>
              <w:pStyle w:val="801"/>
              <w:jc w:val="left"/>
              <w:keepLines w:val="0"/>
              <w:keepNext w:val="0"/>
              <w:pageBreakBefore w:val="0"/>
              <w:spacing w:line="312" w:lineRule="auto"/>
              <w:widowControl w:val="off"/>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⑴震动传感器2套；</w:t>
            </w:r>
            <w:r>
              <w:rPr>
                <w:rFonts w:hint="eastAsia" w:ascii="宋体" w:hAnsi="宋体" w:eastAsia="宋体" w:cs="宋体"/>
                <w:i w:val="0"/>
                <w:iCs w:val="0"/>
                <w:color w:val="000000"/>
                <w:sz w:val="21"/>
                <w:szCs w:val="21"/>
                <w:highlight w:val="none"/>
                <w:u w:val="none"/>
                <w:lang w:val="en-US" w:eastAsia="zh-CN" w:bidi="ar"/>
              </w:rPr>
            </w:r>
            <w:r/>
          </w:p>
          <w:p>
            <w:pPr>
              <w:pStyle w:val="801"/>
              <w:jc w:val="left"/>
              <w:keepLines w:val="0"/>
              <w:keepNext w:val="0"/>
              <w:pageBreakBefore w:val="0"/>
              <w:spacing w:line="312" w:lineRule="auto"/>
              <w:widowControl w:val="off"/>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⑵GNSS 接收机3套；</w:t>
            </w:r>
            <w:r>
              <w:rPr>
                <w:rFonts w:hint="eastAsia" w:ascii="宋体" w:hAnsi="宋体" w:eastAsia="宋体" w:cs="宋体"/>
                <w:i w:val="0"/>
                <w:iCs w:val="0"/>
                <w:color w:val="000000"/>
                <w:sz w:val="21"/>
                <w:szCs w:val="21"/>
                <w:highlight w:val="none"/>
                <w:u w:val="none"/>
                <w:lang w:val="en-US" w:eastAsia="zh-CN" w:bidi="ar"/>
              </w:rPr>
            </w:r>
            <w:r/>
          </w:p>
          <w:p>
            <w:pPr>
              <w:pStyle w:val="801"/>
              <w:jc w:val="left"/>
              <w:keepLines w:val="0"/>
              <w:keepNext w:val="0"/>
              <w:pageBreakBefore w:val="0"/>
              <w:spacing w:line="312" w:lineRule="auto"/>
              <w:widowControl w:val="off"/>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⑶动位移数据采集机无线传输1套；</w:t>
            </w:r>
            <w:r>
              <w:rPr>
                <w:rFonts w:hint="eastAsia" w:ascii="宋体" w:hAnsi="宋体" w:eastAsia="宋体" w:cs="宋体"/>
                <w:i w:val="0"/>
                <w:iCs w:val="0"/>
                <w:color w:val="000000"/>
                <w:sz w:val="21"/>
                <w:szCs w:val="21"/>
                <w:highlight w:val="none"/>
                <w:u w:val="none"/>
                <w:lang w:val="en-US" w:eastAsia="zh-CN" w:bidi="ar"/>
              </w:rPr>
            </w:r>
            <w:r/>
          </w:p>
          <w:p>
            <w:pPr>
              <w:pStyle w:val="801"/>
              <w:jc w:val="left"/>
              <w:keepLines w:val="0"/>
              <w:keepNext w:val="0"/>
              <w:pageBreakBefore w:val="0"/>
              <w:spacing w:line="312" w:lineRule="auto"/>
              <w:widowControl w:val="off"/>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⑷视频监控1套；</w:t>
            </w:r>
            <w:r>
              <w:rPr>
                <w:rFonts w:hint="eastAsia" w:ascii="宋体" w:hAnsi="宋体" w:eastAsia="宋体" w:cs="宋体"/>
                <w:i w:val="0"/>
                <w:iCs w:val="0"/>
                <w:color w:val="000000"/>
                <w:sz w:val="21"/>
                <w:szCs w:val="21"/>
                <w:highlight w:val="none"/>
                <w:u w:val="none"/>
                <w:lang w:val="en-US" w:eastAsia="zh-CN" w:bidi="ar"/>
              </w:rPr>
            </w:r>
            <w:r/>
          </w:p>
          <w:p>
            <w:pPr>
              <w:pStyle w:val="801"/>
              <w:jc w:val="left"/>
              <w:keepLines w:val="0"/>
              <w:keepNext w:val="0"/>
              <w:pageBreakBefore w:val="0"/>
              <w:spacing w:line="312" w:lineRule="auto"/>
              <w:widowControl w:val="off"/>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⑸工控机1套；</w:t>
            </w:r>
            <w:r>
              <w:rPr>
                <w:rFonts w:hint="eastAsia" w:ascii="宋体" w:hAnsi="宋体" w:eastAsia="宋体" w:cs="宋体"/>
                <w:i w:val="0"/>
                <w:iCs w:val="0"/>
                <w:color w:val="000000"/>
                <w:sz w:val="21"/>
                <w:szCs w:val="21"/>
                <w:highlight w:val="none"/>
                <w:u w:val="none"/>
                <w:lang w:val="en-US" w:eastAsia="zh-CN" w:bidi="ar"/>
              </w:rPr>
            </w:r>
            <w:r/>
          </w:p>
          <w:p>
            <w:pPr>
              <w:pStyle w:val="801"/>
              <w:jc w:val="left"/>
              <w:keepLines w:val="0"/>
              <w:keepNext w:val="0"/>
              <w:pageBreakBefore w:val="0"/>
              <w:spacing w:line="312" w:lineRule="auto"/>
              <w:widowControl w:val="off"/>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⑹不间断电源和杆件2套；</w:t>
            </w:r>
            <w:r>
              <w:rPr>
                <w:rFonts w:hint="eastAsia" w:ascii="宋体" w:hAnsi="宋体" w:eastAsia="宋体" w:cs="宋体"/>
                <w:i w:val="0"/>
                <w:iCs w:val="0"/>
                <w:color w:val="000000"/>
                <w:sz w:val="21"/>
                <w:szCs w:val="21"/>
                <w:highlight w:val="none"/>
                <w:u w:val="none"/>
                <w:lang w:val="en-US" w:eastAsia="zh-CN" w:bidi="ar"/>
              </w:rPr>
            </w:r>
            <w:r/>
          </w:p>
          <w:p>
            <w:pPr>
              <w:pStyle w:val="801"/>
              <w:jc w:val="left"/>
              <w:keepLines w:val="0"/>
              <w:keepNext w:val="0"/>
              <w:pageBreakBefore w:val="0"/>
              <w:spacing w:line="312" w:lineRule="auto"/>
              <w:widowControl w:val="off"/>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⑺4G 路由器1套；</w:t>
            </w:r>
            <w:r>
              <w:rPr>
                <w:rFonts w:hint="eastAsia" w:ascii="宋体" w:hAnsi="宋体" w:eastAsia="宋体" w:cs="宋体"/>
                <w:i w:val="0"/>
                <w:iCs w:val="0"/>
                <w:color w:val="000000"/>
                <w:sz w:val="21"/>
                <w:szCs w:val="21"/>
                <w:highlight w:val="none"/>
                <w:u w:val="none"/>
                <w:lang w:val="en-US" w:eastAsia="zh-CN" w:bidi="ar"/>
              </w:rPr>
            </w:r>
            <w:r/>
          </w:p>
          <w:p>
            <w:pPr>
              <w:pStyle w:val="801"/>
              <w:jc w:val="left"/>
              <w:keepLines w:val="0"/>
              <w:keepNext w:val="0"/>
              <w:pageBreakBefore w:val="0"/>
              <w:spacing w:line="312" w:lineRule="auto"/>
              <w:widowControl w:val="off"/>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⑻机柜及其支架1套；</w:t>
            </w:r>
            <w:r>
              <w:rPr>
                <w:rFonts w:hint="eastAsia" w:ascii="宋体" w:hAnsi="宋体" w:eastAsia="宋体" w:cs="宋体"/>
                <w:i w:val="0"/>
                <w:iCs w:val="0"/>
                <w:color w:val="000000"/>
                <w:sz w:val="21"/>
                <w:szCs w:val="21"/>
                <w:highlight w:val="none"/>
                <w:u w:val="none"/>
                <w:lang w:val="en-US" w:eastAsia="zh-CN" w:bidi="ar"/>
              </w:rPr>
            </w:r>
            <w:r/>
          </w:p>
          <w:p>
            <w:pPr>
              <w:pStyle w:val="801"/>
              <w:jc w:val="left"/>
              <w:keepLines w:val="0"/>
              <w:keepNext w:val="0"/>
              <w:pageBreakBefore w:val="0"/>
              <w:spacing w:line="312" w:lineRule="auto"/>
              <w:widowControl w:val="off"/>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⑼附件3套；</w:t>
            </w:r>
            <w:r>
              <w:rPr>
                <w:rFonts w:hint="eastAsia" w:ascii="宋体" w:hAnsi="宋体" w:eastAsia="宋体" w:cs="宋体"/>
                <w:i w:val="0"/>
                <w:iCs w:val="0"/>
                <w:color w:val="000000"/>
                <w:sz w:val="21"/>
                <w:szCs w:val="21"/>
                <w:highlight w:val="none"/>
                <w:u w:val="none"/>
                <w:lang w:val="en-US" w:eastAsia="zh-CN" w:bidi="ar"/>
              </w:rPr>
            </w:r>
            <w:r/>
          </w:p>
          <w:p>
            <w:pPr>
              <w:pStyle w:val="801"/>
              <w:jc w:val="left"/>
              <w:keepLines w:val="0"/>
              <w:keepNext w:val="0"/>
              <w:pageBreakBefore w:val="0"/>
              <w:spacing w:line="312" w:lineRule="auto"/>
              <w:widowControl w:val="off"/>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⑽远程监控软件及一年云存储1套；</w:t>
            </w:r>
            <w:r>
              <w:rPr>
                <w:rFonts w:hint="eastAsia" w:ascii="宋体" w:hAnsi="宋体" w:eastAsia="宋体" w:cs="宋体"/>
                <w:i w:val="0"/>
                <w:iCs w:val="0"/>
                <w:color w:val="000000"/>
                <w:sz w:val="21"/>
                <w:szCs w:val="21"/>
                <w:highlight w:val="none"/>
                <w:u w:val="none"/>
                <w:lang w:val="en-US" w:eastAsia="zh-CN" w:bidi="ar"/>
              </w:rPr>
            </w:r>
            <w:r/>
          </w:p>
          <w:p>
            <w:pPr>
              <w:pStyle w:val="801"/>
              <w:jc w:val="left"/>
              <w:keepLines w:val="0"/>
              <w:keepNext w:val="0"/>
              <w:pageBreakBefore w:val="0"/>
              <w:spacing w:line="312" w:lineRule="auto"/>
              <w:widowControl w:val="off"/>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⑾系统安装调试监测技术服务1项；</w:t>
            </w:r>
            <w:r>
              <w:rPr>
                <w:rFonts w:hint="eastAsia" w:ascii="宋体" w:hAnsi="宋体" w:eastAsia="宋体" w:cs="宋体"/>
                <w:i w:val="0"/>
                <w:iCs w:val="0"/>
                <w:color w:val="000000"/>
                <w:sz w:val="21"/>
                <w:szCs w:val="21"/>
                <w:highlight w:val="none"/>
                <w:u w:val="none"/>
                <w:lang w:val="en-US" w:eastAsia="zh-CN" w:bidi="ar"/>
              </w:rPr>
            </w:r>
            <w:r/>
          </w:p>
          <w:p>
            <w:pPr>
              <w:pStyle w:val="801"/>
              <w:jc w:val="left"/>
              <w:keepLines w:val="0"/>
              <w:keepNext w:val="0"/>
              <w:pageBreakBefore w:val="0"/>
              <w:spacing w:line="312" w:lineRule="auto"/>
              <w:widowControl w:val="off"/>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⑿系统运行保质缺陷期2年后维护1项/年；</w:t>
            </w:r>
            <w:r>
              <w:rPr>
                <w:rFonts w:hint="eastAsia" w:ascii="宋体" w:hAnsi="宋体" w:eastAsia="宋体" w:cs="宋体"/>
                <w:i w:val="0"/>
                <w:iCs w:val="0"/>
                <w:color w:val="000000"/>
                <w:sz w:val="21"/>
                <w:szCs w:val="21"/>
                <w:highlight w:val="none"/>
                <w:u w:val="none"/>
                <w:lang w:val="en-US" w:eastAsia="zh-CN" w:bidi="ar"/>
              </w:rPr>
            </w:r>
            <w:r/>
          </w:p>
          <w:p>
            <w:pPr>
              <w:pStyle w:val="801"/>
              <w:jc w:val="left"/>
              <w:keepLines w:val="0"/>
              <w:keepNext w:val="0"/>
              <w:pageBreakBefore w:val="0"/>
              <w:spacing w:line="312" w:lineRule="auto"/>
              <w:widowControl w:val="off"/>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⒀具体要求可根据业主需要适当调整；</w:t>
            </w:r>
            <w:r>
              <w:rPr>
                <w:rFonts w:hint="eastAsia" w:ascii="宋体" w:hAnsi="宋体" w:eastAsia="宋体" w:cs="宋体"/>
                <w:i w:val="0"/>
                <w:iCs w:val="0"/>
                <w:color w:val="000000"/>
                <w:sz w:val="21"/>
                <w:szCs w:val="21"/>
                <w:highlight w:val="none"/>
                <w:u w:val="none"/>
                <w:lang w:val="en-US" w:eastAsia="zh-CN" w:bidi="ar"/>
              </w:rPr>
            </w:r>
            <w:r/>
          </w:p>
          <w:p>
            <w:pPr>
              <w:pStyle w:val="801"/>
              <w:jc w:val="left"/>
              <w:keepLines w:val="0"/>
              <w:keepNext w:val="0"/>
              <w:pageBreakBefore w:val="0"/>
              <w:spacing w:line="312" w:lineRule="auto"/>
              <w:widowControl w:val="off"/>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⒁具体设备参数，详见设计图纸</w:t>
            </w:r>
            <w:r>
              <w:rPr>
                <w:rFonts w:hint="eastAsia" w:ascii="宋体" w:hAnsi="宋体" w:eastAsia="宋体" w:cs="宋体"/>
                <w:i w:val="0"/>
                <w:iCs w:val="0"/>
                <w:color w:val="000000"/>
                <w:sz w:val="21"/>
                <w:szCs w:val="21"/>
                <w:highlight w:val="none"/>
                <w:u w:val="none"/>
                <w:lang w:val="en-US" w:eastAsia="zh-CN" w:bidi="ar"/>
              </w:rPr>
            </w:r>
            <w:r/>
          </w:p>
          <w:p>
            <w:pPr>
              <w:pStyle w:val="801"/>
              <w:jc w:val="left"/>
              <w:keepLines w:val="0"/>
              <w:keepNext w:val="0"/>
              <w:pageBreakBefore w:val="0"/>
              <w:spacing w:line="312"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；⒂主光纤、电缆已统一考虑，安装调试含相关辅材管线。</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3.其他说明:相关配套电气可根据不同产品要求及现场条件适当调整，具体实施方案需符合相关规范要求，并报业主认可。</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lang w:val="en-US" w:eastAsia="zh-CN" w:bidi="ar"/>
              </w:rPr>
              <w:t xml:space="preserve">技术</w:t>
            </w:r>
            <w:r>
              <w:rPr>
                <w:rFonts w:hint="eastAsia" w:ascii="宋体" w:hAnsi="宋体" w:eastAsia="宋体" w:cs="宋体"/>
                <w:i w:val="0"/>
                <w:iCs w:val="0"/>
                <w:color w:val="000000"/>
                <w:sz w:val="21"/>
                <w:szCs w:val="21"/>
                <w:highlight w:val="none"/>
                <w:u w:val="none"/>
                <w:lang w:val="en-US" w:eastAsia="zh-CN" w:bidi="ar"/>
              </w:rPr>
              <w:t xml:space="preserve">要求:详见工程量清单编制说明及投标报价要求。</w:t>
            </w:r>
            <w:r>
              <w:rPr>
                <w:rFonts w:hint="eastAsia" w:ascii="宋体" w:hAnsi="宋体" w:eastAsia="宋体" w:cs="宋体"/>
                <w:i w:val="0"/>
                <w:iCs w:val="0"/>
                <w:color w:val="000000"/>
                <w:sz w:val="21"/>
                <w:szCs w:val="21"/>
                <w:highlight w:val="none"/>
                <w:u w:val="none"/>
              </w:rPr>
            </w:r>
            <w:r/>
          </w:p>
        </w:tc>
        <w:tc>
          <w:tcPr>
            <w:shd w:val="clear" w:color="ffffff" w:fill="ffffff"/>
            <w:tcW w:w="549" w:type="dxa"/>
            <w:vAlign w:val="center"/>
            <w:textDirection w:val="lrTb"/>
            <w:noWrap w:val="false"/>
          </w:tcPr>
          <w:p>
            <w:pPr>
              <w:pStyle w:val="801"/>
              <w:jc w:val="center"/>
              <w:keepLines w:val="0"/>
              <w:keepNext w:val="0"/>
              <w:pageBreakBefore w:val="0"/>
              <w:spacing w:line="312"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shd w:val="clear" w:color="ffffff" w:fill="ffffff"/>
            <w:tcW w:w="840" w:type="dxa"/>
            <w:vAlign w:val="center"/>
            <w:textDirection w:val="lrTb"/>
            <w:noWrap w:val="false"/>
          </w:tcPr>
          <w:p>
            <w:pPr>
              <w:pStyle w:val="801"/>
              <w:jc w:val="right"/>
              <w:keepLines w:val="0"/>
              <w:keepNext w:val="0"/>
              <w:pageBreakBefore w:val="0"/>
              <w:spacing w:line="312"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r>
      <w:tr>
        <w:trPr>
          <w:trHeight w:val="6535"/>
        </w:trPr>
        <w:tc>
          <w:tcPr>
            <w:shd w:val="clear" w:color="ffffff" w:fill="ffffff"/>
            <w:tcW w:w="430" w:type="dxa"/>
            <w:vAlign w:val="center"/>
            <w:textDirection w:val="lrTb"/>
            <w:noWrap w:val="false"/>
          </w:tcPr>
          <w:p>
            <w:pPr>
              <w:pStyle w:val="801"/>
              <w:jc w:val="center"/>
              <w:keepLines w:val="0"/>
              <w:keepNext w:val="0"/>
              <w:pageBreakBefore w:val="0"/>
              <w:spacing w:line="312"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57</w:t>
            </w:r>
            <w:r>
              <w:rPr>
                <w:rFonts w:hint="eastAsia" w:ascii="宋体" w:hAnsi="宋体" w:eastAsia="宋体" w:cs="宋体"/>
                <w:i w:val="0"/>
                <w:iCs w:val="0"/>
                <w:color w:val="000000"/>
                <w:sz w:val="21"/>
                <w:szCs w:val="21"/>
                <w:highlight w:val="none"/>
                <w:u w:val="none"/>
              </w:rPr>
            </w:r>
            <w:r/>
          </w:p>
        </w:tc>
        <w:tc>
          <w:tcPr>
            <w:shd w:val="clear" w:color="ffffff" w:fill="ffffff"/>
            <w:tcW w:w="1160" w:type="dxa"/>
            <w:vAlign w:val="center"/>
            <w:textDirection w:val="lrTb"/>
            <w:noWrap w:val="false"/>
          </w:tcPr>
          <w:p>
            <w:pPr>
              <w:pStyle w:val="801"/>
              <w:jc w:val="center"/>
              <w:keepLines w:val="0"/>
              <w:keepNext w:val="0"/>
              <w:pageBreakBefore w:val="0"/>
              <w:spacing w:line="312"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智慧灯杆</w:t>
            </w:r>
            <w:r>
              <w:rPr>
                <w:rFonts w:hint="eastAsia" w:ascii="宋体" w:hAnsi="宋体" w:eastAsia="宋体" w:cs="宋体"/>
                <w:i w:val="0"/>
                <w:iCs w:val="0"/>
                <w:color w:val="000000"/>
                <w:sz w:val="21"/>
                <w:szCs w:val="21"/>
                <w:highlight w:val="none"/>
                <w:u w:val="none"/>
              </w:rPr>
            </w:r>
            <w:r/>
          </w:p>
        </w:tc>
        <w:tc>
          <w:tcPr>
            <w:shd w:val="clear" w:color="ffffff" w:fill="ffffff"/>
            <w:tcW w:w="6120" w:type="dxa"/>
            <w:vAlign w:val="center"/>
            <w:textDirection w:val="lrTb"/>
            <w:noWrap w:val="false"/>
          </w:tcPr>
          <w:p>
            <w:pPr>
              <w:pStyle w:val="801"/>
              <w:jc w:val="left"/>
              <w:keepLines w:val="0"/>
              <w:keepNext w:val="0"/>
              <w:pageBreakBefore w:val="0"/>
              <w:spacing w:line="312" w:lineRule="auto"/>
              <w:widowControl w:val="off"/>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1.施工部位:导航墙、3#、6#、9#、12#、15#墩体设置。</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2.项目内容:</w:t>
            </w:r>
            <w:r>
              <w:rPr>
                <w:rFonts w:hint="eastAsia" w:ascii="宋体" w:hAnsi="宋体" w:eastAsia="宋体" w:cs="宋体"/>
                <w:i w:val="0"/>
                <w:iCs w:val="0"/>
                <w:color w:val="000000"/>
                <w:sz w:val="21"/>
                <w:szCs w:val="21"/>
                <w:highlight w:val="none"/>
                <w:u w:val="none"/>
                <w:lang w:val="en-US" w:eastAsia="zh-CN" w:bidi="ar"/>
              </w:rPr>
            </w:r>
            <w:r/>
          </w:p>
          <w:p>
            <w:pPr>
              <w:pStyle w:val="801"/>
              <w:jc w:val="left"/>
              <w:keepLines w:val="0"/>
              <w:keepNext w:val="0"/>
              <w:pageBreakBefore w:val="0"/>
              <w:spacing w:line="312" w:lineRule="auto"/>
              <w:widowControl w:val="off"/>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⑴灯杆、灯源及其他配套设施（灯杆、AI 随船动路灯、AI 随船动摄像机、IP 音柱、LED 显示屏、一键报警系统、智慧灯杆大数据平台、硬盘录像机、监控硬盘（企业级盘4Tx4个）、智慧云盒2光8电、路灯控制器等）6套，包括购置、安装、调试等所有工作内容；</w:t>
            </w:r>
            <w:r>
              <w:rPr>
                <w:rFonts w:hint="eastAsia" w:ascii="宋体" w:hAnsi="宋体" w:eastAsia="宋体" w:cs="宋体"/>
                <w:i w:val="0"/>
                <w:iCs w:val="0"/>
                <w:color w:val="000000"/>
                <w:sz w:val="21"/>
                <w:szCs w:val="21"/>
                <w:highlight w:val="none"/>
                <w:u w:val="none"/>
                <w:lang w:val="en-US" w:eastAsia="zh-CN" w:bidi="ar"/>
              </w:rPr>
            </w:r>
            <w:r/>
          </w:p>
          <w:p>
            <w:pPr>
              <w:pStyle w:val="801"/>
              <w:jc w:val="left"/>
              <w:keepLines w:val="0"/>
              <w:keepNext w:val="0"/>
              <w:pageBreakBefore w:val="0"/>
              <w:spacing w:line="312" w:lineRule="auto"/>
              <w:widowControl w:val="off"/>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⑵智能配电箱6套；</w:t>
            </w:r>
            <w:r>
              <w:rPr>
                <w:rFonts w:hint="eastAsia" w:ascii="宋体" w:hAnsi="宋体" w:eastAsia="宋体" w:cs="宋体"/>
                <w:i w:val="0"/>
                <w:iCs w:val="0"/>
                <w:color w:val="000000"/>
                <w:sz w:val="21"/>
                <w:szCs w:val="21"/>
                <w:highlight w:val="none"/>
                <w:u w:val="none"/>
                <w:lang w:val="en-US" w:eastAsia="zh-CN" w:bidi="ar"/>
              </w:rPr>
            </w:r>
            <w:r/>
          </w:p>
          <w:p>
            <w:pPr>
              <w:pStyle w:val="801"/>
              <w:jc w:val="left"/>
              <w:keepLines w:val="0"/>
              <w:keepNext w:val="0"/>
              <w:pageBreakBefore w:val="0"/>
              <w:spacing w:line="312" w:lineRule="auto"/>
              <w:widowControl w:val="off"/>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⑶安装调试、技术服务1项；</w:t>
            </w:r>
            <w:r>
              <w:rPr>
                <w:rFonts w:hint="eastAsia" w:ascii="宋体" w:hAnsi="宋体" w:eastAsia="宋体" w:cs="宋体"/>
                <w:i w:val="0"/>
                <w:iCs w:val="0"/>
                <w:color w:val="000000"/>
                <w:sz w:val="21"/>
                <w:szCs w:val="21"/>
                <w:highlight w:val="none"/>
                <w:u w:val="none"/>
                <w:lang w:val="en-US" w:eastAsia="zh-CN" w:bidi="ar"/>
              </w:rPr>
            </w:r>
            <w:r/>
          </w:p>
          <w:p>
            <w:pPr>
              <w:pStyle w:val="801"/>
              <w:jc w:val="left"/>
              <w:keepLines w:val="0"/>
              <w:keepNext w:val="0"/>
              <w:pageBreakBefore w:val="0"/>
              <w:spacing w:line="312" w:lineRule="auto"/>
              <w:widowControl w:val="off"/>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⑷系统运行维护保质缺陷期2年后维护1项/年；</w:t>
            </w:r>
            <w:r>
              <w:rPr>
                <w:rFonts w:hint="eastAsia" w:ascii="宋体" w:hAnsi="宋体" w:eastAsia="宋体" w:cs="宋体"/>
                <w:i w:val="0"/>
                <w:iCs w:val="0"/>
                <w:color w:val="000000"/>
                <w:sz w:val="21"/>
                <w:szCs w:val="21"/>
                <w:highlight w:val="none"/>
                <w:u w:val="none"/>
                <w:lang w:val="en-US" w:eastAsia="zh-CN" w:bidi="ar"/>
              </w:rPr>
            </w:r>
            <w:r/>
          </w:p>
          <w:p>
            <w:pPr>
              <w:pStyle w:val="801"/>
              <w:jc w:val="left"/>
              <w:keepLines w:val="0"/>
              <w:keepNext w:val="0"/>
              <w:pageBreakBefore w:val="0"/>
              <w:spacing w:line="312" w:lineRule="auto"/>
              <w:widowControl w:val="off"/>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⑸具体要求可根据业主需要适当调整；</w:t>
            </w:r>
            <w:r>
              <w:rPr>
                <w:rFonts w:hint="eastAsia" w:ascii="宋体" w:hAnsi="宋体" w:eastAsia="宋体" w:cs="宋体"/>
                <w:i w:val="0"/>
                <w:iCs w:val="0"/>
                <w:color w:val="000000"/>
                <w:sz w:val="21"/>
                <w:szCs w:val="21"/>
                <w:highlight w:val="none"/>
                <w:u w:val="none"/>
                <w:lang w:val="en-US" w:eastAsia="zh-CN" w:bidi="ar"/>
              </w:rPr>
            </w:r>
            <w:r/>
          </w:p>
          <w:p>
            <w:pPr>
              <w:pStyle w:val="801"/>
              <w:jc w:val="left"/>
              <w:keepLines w:val="0"/>
              <w:keepNext w:val="0"/>
              <w:pageBreakBefore w:val="0"/>
              <w:spacing w:line="312" w:lineRule="auto"/>
              <w:widowControl w:val="off"/>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⑹主光纤、电缆已统一考虑，安装调试含相关辅材管线；</w:t>
            </w:r>
            <w:r>
              <w:rPr>
                <w:rFonts w:hint="eastAsia" w:ascii="宋体" w:hAnsi="宋体" w:eastAsia="宋体" w:cs="宋体"/>
                <w:i w:val="0"/>
                <w:iCs w:val="0"/>
                <w:color w:val="000000"/>
                <w:sz w:val="21"/>
                <w:szCs w:val="21"/>
                <w:highlight w:val="none"/>
                <w:u w:val="none"/>
                <w:lang w:val="en-US" w:eastAsia="zh-CN" w:bidi="ar"/>
              </w:rPr>
            </w:r>
            <w:r/>
          </w:p>
          <w:p>
            <w:pPr>
              <w:pStyle w:val="801"/>
              <w:jc w:val="left"/>
              <w:keepLines w:val="0"/>
              <w:keepNext w:val="0"/>
              <w:pageBreakBefore w:val="0"/>
              <w:spacing w:line="312" w:lineRule="auto"/>
              <w:widowControl w:val="off"/>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⑺按照设计要求并预留2个备用设备安装位置,便于后期设备拓展。</w:t>
            </w:r>
            <w:r>
              <w:rPr>
                <w:rFonts w:hint="eastAsia" w:ascii="宋体" w:hAnsi="宋体" w:eastAsia="宋体" w:cs="宋体"/>
                <w:i w:val="0"/>
                <w:iCs w:val="0"/>
                <w:color w:val="000000"/>
                <w:sz w:val="21"/>
                <w:szCs w:val="21"/>
                <w:highlight w:val="none"/>
                <w:u w:val="none"/>
                <w:lang w:val="en-US" w:eastAsia="zh-CN" w:bidi="ar"/>
              </w:rPr>
            </w:r>
            <w:r/>
          </w:p>
          <w:p>
            <w:pPr>
              <w:pStyle w:val="801"/>
              <w:jc w:val="left"/>
              <w:keepLines w:val="0"/>
              <w:keepNext w:val="0"/>
              <w:pageBreakBefore w:val="0"/>
              <w:spacing w:line="312"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⑻具体设备参数，详见设计图纸。</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3.其他说明:相关配套电气可根据不同产品要求及现场条件适当调整，具体实施方案需符合相关规范要求，并报业主认可。</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lang w:val="en-US" w:eastAsia="zh-CN" w:bidi="ar"/>
              </w:rPr>
              <w:t xml:space="preserve">技术</w:t>
            </w:r>
            <w:r>
              <w:rPr>
                <w:rFonts w:hint="eastAsia" w:ascii="宋体" w:hAnsi="宋体" w:eastAsia="宋体" w:cs="宋体"/>
                <w:i w:val="0"/>
                <w:iCs w:val="0"/>
                <w:color w:val="000000"/>
                <w:sz w:val="21"/>
                <w:szCs w:val="21"/>
                <w:highlight w:val="none"/>
                <w:u w:val="none"/>
                <w:lang w:val="en-US" w:eastAsia="zh-CN" w:bidi="ar"/>
              </w:rPr>
              <w:t xml:space="preserve">要求:详见工程量清单编制说明及投标报价要求。</w:t>
            </w:r>
            <w:r>
              <w:rPr>
                <w:rFonts w:hint="eastAsia" w:ascii="宋体" w:hAnsi="宋体" w:eastAsia="宋体" w:cs="宋体"/>
                <w:i w:val="0"/>
                <w:iCs w:val="0"/>
                <w:color w:val="000000"/>
                <w:sz w:val="21"/>
                <w:szCs w:val="21"/>
                <w:highlight w:val="none"/>
                <w:u w:val="none"/>
              </w:rPr>
            </w:r>
            <w:r/>
          </w:p>
        </w:tc>
        <w:tc>
          <w:tcPr>
            <w:shd w:val="clear" w:color="ffffff" w:fill="ffffff"/>
            <w:tcW w:w="549" w:type="dxa"/>
            <w:vAlign w:val="center"/>
            <w:textDirection w:val="lrTb"/>
            <w:noWrap w:val="false"/>
          </w:tcPr>
          <w:p>
            <w:pPr>
              <w:pStyle w:val="801"/>
              <w:jc w:val="center"/>
              <w:keepLines w:val="0"/>
              <w:keepNext w:val="0"/>
              <w:pageBreakBefore w:val="0"/>
              <w:spacing w:line="312"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座</w:t>
            </w:r>
            <w:r>
              <w:rPr>
                <w:rFonts w:hint="eastAsia" w:ascii="宋体" w:hAnsi="宋体" w:eastAsia="宋体" w:cs="宋体"/>
                <w:i w:val="0"/>
                <w:iCs w:val="0"/>
                <w:color w:val="000000"/>
                <w:sz w:val="21"/>
                <w:szCs w:val="21"/>
                <w:highlight w:val="none"/>
                <w:u w:val="none"/>
              </w:rPr>
            </w:r>
            <w:r/>
          </w:p>
        </w:tc>
        <w:tc>
          <w:tcPr>
            <w:shd w:val="clear" w:color="ffffff" w:fill="ffffff"/>
            <w:tcW w:w="840" w:type="dxa"/>
            <w:vAlign w:val="center"/>
            <w:textDirection w:val="lrTb"/>
            <w:noWrap w:val="false"/>
          </w:tcPr>
          <w:p>
            <w:pPr>
              <w:pStyle w:val="801"/>
              <w:jc w:val="right"/>
              <w:keepLines w:val="0"/>
              <w:keepNext w:val="0"/>
              <w:pageBreakBefore w:val="0"/>
              <w:spacing w:line="312"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rFonts w:hint="eastAsia" w:ascii="宋体" w:hAnsi="宋体" w:eastAsia="宋体" w:cs="宋体"/>
                <w:i w:val="0"/>
                <w:iCs w:val="0"/>
                <w:color w:val="000000"/>
                <w:sz w:val="21"/>
                <w:szCs w:val="21"/>
                <w:highlight w:val="none"/>
                <w:u w:val="none"/>
              </w:rPr>
            </w:r>
            <w:r/>
          </w:p>
        </w:tc>
      </w:tr>
      <w:tr>
        <w:trPr>
          <w:trHeight w:val="8767"/>
        </w:trPr>
        <w:tc>
          <w:tcPr>
            <w:shd w:val="clear" w:color="ffffff" w:fill="ffffff"/>
            <w:tcW w:w="430" w:type="dxa"/>
            <w:vAlign w:val="center"/>
            <w:textDirection w:val="lrTb"/>
            <w:noWrap w:val="false"/>
          </w:tcPr>
          <w:p>
            <w:pPr>
              <w:pStyle w:val="801"/>
              <w:jc w:val="center"/>
              <w:keepLines w:val="0"/>
              <w:keepNext w:val="0"/>
              <w:pageBreakBefore w:val="0"/>
              <w:spacing w:line="288"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58</w:t>
            </w:r>
            <w:r>
              <w:rPr>
                <w:rFonts w:hint="eastAsia" w:ascii="宋体" w:hAnsi="宋体" w:eastAsia="宋体" w:cs="宋体"/>
                <w:i w:val="0"/>
                <w:iCs w:val="0"/>
                <w:color w:val="000000"/>
                <w:sz w:val="21"/>
                <w:szCs w:val="21"/>
                <w:highlight w:val="none"/>
                <w:u w:val="none"/>
              </w:rPr>
            </w:r>
            <w:r/>
          </w:p>
        </w:tc>
        <w:tc>
          <w:tcPr>
            <w:shd w:val="clear" w:color="ffffff" w:fill="ffffff"/>
            <w:tcW w:w="1160" w:type="dxa"/>
            <w:vAlign w:val="center"/>
            <w:textDirection w:val="lrTb"/>
            <w:noWrap w:val="false"/>
          </w:tcPr>
          <w:p>
            <w:pPr>
              <w:pStyle w:val="801"/>
              <w:jc w:val="center"/>
              <w:keepLines w:val="0"/>
              <w:keepNext w:val="0"/>
              <w:pageBreakBefore w:val="0"/>
              <w:spacing w:line="288"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升降式生活垃圾智能接收设施</w:t>
            </w:r>
            <w:r>
              <w:rPr>
                <w:rFonts w:hint="eastAsia" w:ascii="宋体" w:hAnsi="宋体" w:eastAsia="宋体" w:cs="宋体"/>
                <w:i w:val="0"/>
                <w:iCs w:val="0"/>
                <w:color w:val="000000"/>
                <w:sz w:val="21"/>
                <w:szCs w:val="21"/>
                <w:highlight w:val="none"/>
                <w:u w:val="none"/>
              </w:rPr>
            </w:r>
            <w:r/>
          </w:p>
        </w:tc>
        <w:tc>
          <w:tcPr>
            <w:shd w:val="clear" w:color="ffffff" w:fill="ffffff"/>
            <w:tcW w:w="6120" w:type="dxa"/>
            <w:vAlign w:val="center"/>
            <w:textDirection w:val="lrTb"/>
            <w:noWrap w:val="false"/>
          </w:tcPr>
          <w:p>
            <w:pPr>
              <w:pStyle w:val="801"/>
              <w:jc w:val="left"/>
              <w:keepLines w:val="0"/>
              <w:keepNext w:val="0"/>
              <w:pageBreakBefore w:val="0"/>
              <w:spacing w:line="288" w:lineRule="auto"/>
              <w:widowControl w:val="off"/>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1.施工部位:9#、13#墩设置。</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2.项目内容:</w:t>
            </w:r>
            <w:r>
              <w:rPr>
                <w:rFonts w:hint="eastAsia" w:ascii="宋体" w:hAnsi="宋体" w:eastAsia="宋体" w:cs="宋体"/>
                <w:i w:val="0"/>
                <w:iCs w:val="0"/>
                <w:color w:val="000000"/>
                <w:sz w:val="21"/>
                <w:szCs w:val="21"/>
                <w:highlight w:val="none"/>
                <w:u w:val="none"/>
                <w:lang w:val="en-US" w:eastAsia="zh-CN" w:bidi="ar"/>
              </w:rPr>
            </w:r>
            <w:r/>
          </w:p>
          <w:p>
            <w:pPr>
              <w:pStyle w:val="801"/>
              <w:jc w:val="left"/>
              <w:keepLines w:val="0"/>
              <w:keepNext w:val="0"/>
              <w:pageBreakBefore w:val="0"/>
              <w:spacing w:line="288" w:lineRule="auto"/>
              <w:widowControl w:val="off"/>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⑴提升装置(包含伺服电机、减速机、起升绞车各2台，安装防护装置2套，垃圾小桶2个，升降轨道及组件、翻转装置、横向推动装置、横向推动时锁紧装置、超声波位移传感器收线器、电动缸收线器各两2套）；</w:t>
            </w:r>
            <w:r>
              <w:rPr>
                <w:rFonts w:hint="eastAsia" w:ascii="宋体" w:hAnsi="宋体" w:eastAsia="宋体" w:cs="宋体"/>
                <w:i w:val="0"/>
                <w:iCs w:val="0"/>
                <w:color w:val="000000"/>
                <w:sz w:val="21"/>
                <w:szCs w:val="21"/>
                <w:highlight w:val="none"/>
                <w:u w:val="none"/>
                <w:lang w:val="en-US" w:eastAsia="zh-CN" w:bidi="ar"/>
              </w:rPr>
            </w:r>
            <w:r/>
          </w:p>
          <w:p>
            <w:pPr>
              <w:pStyle w:val="801"/>
              <w:jc w:val="left"/>
              <w:keepLines w:val="0"/>
              <w:keepNext w:val="0"/>
              <w:pageBreakBefore w:val="0"/>
              <w:spacing w:line="288" w:lineRule="auto"/>
              <w:widowControl w:val="off"/>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⑵垃圾回收储装置箱（回收箱体、存储垃圾桶、遮眼罩、电动开门器、称重装置各两套）；</w:t>
            </w:r>
            <w:r>
              <w:rPr>
                <w:rFonts w:hint="eastAsia" w:ascii="宋体" w:hAnsi="宋体" w:eastAsia="宋体" w:cs="宋体"/>
                <w:i w:val="0"/>
                <w:iCs w:val="0"/>
                <w:color w:val="000000"/>
                <w:sz w:val="21"/>
                <w:szCs w:val="21"/>
                <w:highlight w:val="none"/>
                <w:u w:val="none"/>
                <w:lang w:val="en-US" w:eastAsia="zh-CN" w:bidi="ar"/>
              </w:rPr>
            </w:r>
            <w:r/>
          </w:p>
          <w:p>
            <w:pPr>
              <w:pStyle w:val="801"/>
              <w:jc w:val="left"/>
              <w:keepLines w:val="0"/>
              <w:keepNext w:val="0"/>
              <w:pageBreakBefore w:val="0"/>
              <w:spacing w:line="288" w:lineRule="auto"/>
              <w:widowControl w:val="off"/>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⑶传感器设备（激光位移传感器、超声波位移传感器、溢满传感器(含传感器反射板)、垃圾称重传感器、超声波水位传感器各2套）；</w:t>
            </w:r>
            <w:r>
              <w:rPr>
                <w:rFonts w:hint="eastAsia" w:ascii="宋体" w:hAnsi="宋体" w:eastAsia="宋体" w:cs="宋体"/>
                <w:i w:val="0"/>
                <w:iCs w:val="0"/>
                <w:color w:val="000000"/>
                <w:sz w:val="21"/>
                <w:szCs w:val="21"/>
                <w:highlight w:val="none"/>
                <w:u w:val="none"/>
                <w:lang w:val="en-US" w:eastAsia="zh-CN" w:bidi="ar"/>
              </w:rPr>
            </w:r>
            <w:r/>
          </w:p>
          <w:p>
            <w:pPr>
              <w:pStyle w:val="801"/>
              <w:jc w:val="left"/>
              <w:keepLines w:val="0"/>
              <w:keepNext w:val="0"/>
              <w:pageBreakBefore w:val="0"/>
              <w:spacing w:line="288" w:lineRule="auto"/>
              <w:widowControl w:val="off"/>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⑷电气控制柜（PLC模拟量模块、电器控制箱柜体、电控柜空调机、电路控制主件各2套，PLC信号处理模块2台，线缆2项，电路控制辅件各2套）；</w:t>
            </w:r>
            <w:r>
              <w:rPr>
                <w:rFonts w:hint="eastAsia" w:ascii="宋体" w:hAnsi="宋体" w:eastAsia="宋体" w:cs="宋体"/>
                <w:i w:val="0"/>
                <w:iCs w:val="0"/>
                <w:color w:val="000000"/>
                <w:sz w:val="21"/>
                <w:szCs w:val="21"/>
                <w:highlight w:val="none"/>
                <w:u w:val="none"/>
                <w:lang w:val="en-US" w:eastAsia="zh-CN" w:bidi="ar"/>
              </w:rPr>
            </w:r>
            <w:r/>
          </w:p>
          <w:p>
            <w:pPr>
              <w:pStyle w:val="801"/>
              <w:jc w:val="left"/>
              <w:keepLines w:val="0"/>
              <w:keepNext w:val="0"/>
              <w:pageBreakBefore w:val="0"/>
              <w:spacing w:line="288" w:lineRule="auto"/>
              <w:widowControl w:val="off"/>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⑸语音交互终端设备（高精度P拾音机4台、拾音机防护装置4套、音响设备2套、语音交互终端设备2台）；</w:t>
            </w:r>
            <w:r>
              <w:rPr>
                <w:rFonts w:hint="eastAsia" w:ascii="宋体" w:hAnsi="宋体" w:eastAsia="宋体" w:cs="宋体"/>
                <w:i w:val="0"/>
                <w:iCs w:val="0"/>
                <w:color w:val="000000"/>
                <w:sz w:val="21"/>
                <w:szCs w:val="21"/>
                <w:highlight w:val="none"/>
                <w:u w:val="none"/>
                <w:lang w:val="en-US" w:eastAsia="zh-CN" w:bidi="ar"/>
              </w:rPr>
            </w:r>
            <w:r/>
          </w:p>
          <w:p>
            <w:pPr>
              <w:pStyle w:val="801"/>
              <w:jc w:val="left"/>
              <w:keepLines w:val="0"/>
              <w:keepNext w:val="0"/>
              <w:pageBreakBefore w:val="0"/>
              <w:spacing w:line="288" w:lineRule="auto"/>
              <w:widowControl w:val="off"/>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⑹其他（数据上传模块2项、垃圾桶及宣传标志标识、照明灯及显示屏各2项）；</w:t>
            </w:r>
            <w:r>
              <w:rPr>
                <w:rFonts w:hint="eastAsia" w:ascii="宋体" w:hAnsi="宋体" w:eastAsia="宋体" w:cs="宋体"/>
                <w:i w:val="0"/>
                <w:iCs w:val="0"/>
                <w:color w:val="000000"/>
                <w:sz w:val="21"/>
                <w:szCs w:val="21"/>
                <w:highlight w:val="none"/>
                <w:u w:val="none"/>
                <w:lang w:val="en-US" w:eastAsia="zh-CN" w:bidi="ar"/>
              </w:rPr>
            </w:r>
            <w:r/>
          </w:p>
          <w:p>
            <w:pPr>
              <w:pStyle w:val="801"/>
              <w:jc w:val="left"/>
              <w:keepLines w:val="0"/>
              <w:keepNext w:val="0"/>
              <w:pageBreakBefore w:val="0"/>
              <w:spacing w:line="288" w:lineRule="auto"/>
              <w:widowControl w:val="off"/>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⑺设备调试安装2项；</w:t>
            </w:r>
            <w:r>
              <w:rPr>
                <w:rFonts w:hint="eastAsia" w:ascii="宋体" w:hAnsi="宋体" w:eastAsia="宋体" w:cs="宋体"/>
                <w:i w:val="0"/>
                <w:iCs w:val="0"/>
                <w:color w:val="000000"/>
                <w:sz w:val="21"/>
                <w:szCs w:val="21"/>
                <w:highlight w:val="none"/>
                <w:u w:val="none"/>
                <w:lang w:val="en-US" w:eastAsia="zh-CN" w:bidi="ar"/>
              </w:rPr>
            </w:r>
            <w:r/>
          </w:p>
          <w:p>
            <w:pPr>
              <w:pStyle w:val="801"/>
              <w:jc w:val="left"/>
              <w:keepLines w:val="0"/>
              <w:keepNext w:val="0"/>
              <w:pageBreakBefore w:val="0"/>
              <w:spacing w:line="288" w:lineRule="auto"/>
              <w:widowControl w:val="off"/>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⑻系统运行保质缺陷期2年后维护1项/年：</w:t>
            </w:r>
            <w:r>
              <w:rPr>
                <w:rFonts w:hint="eastAsia" w:ascii="宋体" w:hAnsi="宋体" w:eastAsia="宋体" w:cs="宋体"/>
                <w:i w:val="0"/>
                <w:iCs w:val="0"/>
                <w:color w:val="000000"/>
                <w:sz w:val="21"/>
                <w:szCs w:val="21"/>
                <w:highlight w:val="none"/>
                <w:u w:val="none"/>
                <w:lang w:val="en-US" w:eastAsia="zh-CN" w:bidi="ar"/>
              </w:rPr>
            </w:r>
            <w:r/>
          </w:p>
          <w:p>
            <w:pPr>
              <w:pStyle w:val="801"/>
              <w:jc w:val="left"/>
              <w:keepLines w:val="0"/>
              <w:keepNext w:val="0"/>
              <w:pageBreakBefore w:val="0"/>
              <w:spacing w:line="288" w:lineRule="auto"/>
              <w:widowControl w:val="off"/>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⑼具体要求可根据业主需要适当调整；</w:t>
            </w:r>
            <w:r>
              <w:rPr>
                <w:rFonts w:hint="eastAsia" w:ascii="宋体" w:hAnsi="宋体" w:eastAsia="宋体" w:cs="宋体"/>
                <w:i w:val="0"/>
                <w:iCs w:val="0"/>
                <w:color w:val="000000"/>
                <w:sz w:val="21"/>
                <w:szCs w:val="21"/>
                <w:highlight w:val="none"/>
                <w:u w:val="none"/>
                <w:lang w:val="en-US" w:eastAsia="zh-CN" w:bidi="ar"/>
              </w:rPr>
            </w:r>
            <w:r/>
          </w:p>
          <w:p>
            <w:pPr>
              <w:pStyle w:val="801"/>
              <w:jc w:val="left"/>
              <w:keepLines w:val="0"/>
              <w:keepNext w:val="0"/>
              <w:pageBreakBefore w:val="0"/>
              <w:spacing w:line="288"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⑽具体设备参数，详见设计图纸。⑾主光纤、电缆已统一考虑；⑿安装调试含相关辅材管线。</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3.其他说明:相关配套电气可根据不同产品要求及现场条件适当调整，具体实施方案需符合相关规范要求，并报业主认可。</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lang w:val="en-US" w:eastAsia="zh-CN" w:bidi="ar"/>
              </w:rPr>
              <w:t xml:space="preserve">技术</w:t>
            </w:r>
            <w:r>
              <w:rPr>
                <w:rFonts w:hint="eastAsia" w:ascii="宋体" w:hAnsi="宋体" w:eastAsia="宋体" w:cs="宋体"/>
                <w:i w:val="0"/>
                <w:iCs w:val="0"/>
                <w:color w:val="000000"/>
                <w:sz w:val="21"/>
                <w:szCs w:val="21"/>
                <w:highlight w:val="none"/>
                <w:u w:val="none"/>
                <w:lang w:val="en-US" w:eastAsia="zh-CN" w:bidi="ar"/>
              </w:rPr>
              <w:t xml:space="preserve">要求:详见工程量清单编制说明及投标报价要求。</w:t>
            </w:r>
            <w:r>
              <w:rPr>
                <w:rFonts w:hint="eastAsia" w:ascii="宋体" w:hAnsi="宋体" w:eastAsia="宋体" w:cs="宋体"/>
                <w:i w:val="0"/>
                <w:iCs w:val="0"/>
                <w:color w:val="000000"/>
                <w:sz w:val="21"/>
                <w:szCs w:val="21"/>
                <w:highlight w:val="none"/>
                <w:u w:val="none"/>
              </w:rPr>
            </w:r>
            <w:r/>
          </w:p>
        </w:tc>
        <w:tc>
          <w:tcPr>
            <w:shd w:val="clear" w:color="ffffff" w:fill="ffffff"/>
            <w:tcW w:w="549" w:type="dxa"/>
            <w:vAlign w:val="center"/>
            <w:textDirection w:val="lrTb"/>
            <w:noWrap w:val="false"/>
          </w:tcPr>
          <w:p>
            <w:pPr>
              <w:pStyle w:val="801"/>
              <w:jc w:val="center"/>
              <w:keepLines w:val="0"/>
              <w:keepNext w:val="0"/>
              <w:pageBreakBefore w:val="0"/>
              <w:spacing w:line="288"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座</w:t>
            </w:r>
            <w:r>
              <w:rPr>
                <w:rFonts w:hint="eastAsia" w:ascii="宋体" w:hAnsi="宋体" w:eastAsia="宋体" w:cs="宋体"/>
                <w:i w:val="0"/>
                <w:iCs w:val="0"/>
                <w:color w:val="000000"/>
                <w:sz w:val="21"/>
                <w:szCs w:val="21"/>
                <w:highlight w:val="none"/>
                <w:u w:val="none"/>
              </w:rPr>
            </w:r>
            <w:r/>
          </w:p>
        </w:tc>
        <w:tc>
          <w:tcPr>
            <w:shd w:val="clear" w:color="ffffff" w:fill="ffffff"/>
            <w:tcW w:w="840" w:type="dxa"/>
            <w:vAlign w:val="center"/>
            <w:textDirection w:val="lrTb"/>
            <w:noWrap w:val="false"/>
          </w:tcPr>
          <w:p>
            <w:pPr>
              <w:pStyle w:val="801"/>
              <w:jc w:val="right"/>
              <w:keepLines w:val="0"/>
              <w:keepNext w:val="0"/>
              <w:pageBreakBefore w:val="0"/>
              <w:spacing w:line="288"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r>
      <w:tr>
        <w:trPr>
          <w:trHeight w:val="2137"/>
        </w:trPr>
        <w:tc>
          <w:tcPr>
            <w:shd w:val="clear" w:color="ffffff" w:fill="ffffff"/>
            <w:tcW w:w="430" w:type="dxa"/>
            <w:vAlign w:val="center"/>
            <w:textDirection w:val="lrTb"/>
            <w:noWrap w:val="false"/>
          </w:tcPr>
          <w:p>
            <w:pPr>
              <w:pStyle w:val="801"/>
              <w:jc w:val="center"/>
              <w:keepLines w:val="0"/>
              <w:keepNext w:val="0"/>
              <w:pageBreakBefore w:val="0"/>
              <w:spacing w:line="288" w:lineRule="auto"/>
              <w:widowControl w:val="off"/>
              <w:rPr>
                <w:rFonts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59</w:t>
            </w:r>
            <w:r>
              <w:rPr>
                <w:rFonts w:ascii="宋体" w:hAnsi="宋体" w:eastAsia="宋体" w:cs="宋体"/>
                <w:i w:val="0"/>
                <w:iCs w:val="0"/>
                <w:color w:val="000000"/>
                <w:sz w:val="21"/>
                <w:szCs w:val="21"/>
                <w:highlight w:val="none"/>
                <w:u w:val="none"/>
                <w:lang w:val="en-US"/>
              </w:rPr>
            </w:r>
            <w:r/>
          </w:p>
        </w:tc>
        <w:tc>
          <w:tcPr>
            <w:shd w:val="clear" w:color="ffffff" w:fill="ffffff"/>
            <w:tcW w:w="1160" w:type="dxa"/>
            <w:vAlign w:val="center"/>
            <w:textDirection w:val="lrTb"/>
            <w:noWrap w:val="false"/>
          </w:tcPr>
          <w:p>
            <w:pPr>
              <w:pStyle w:val="801"/>
              <w:jc w:val="center"/>
              <w:keepLines w:val="0"/>
              <w:keepNext w:val="0"/>
              <w:pageBreakBefore w:val="0"/>
              <w:spacing w:line="288"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配线架及配套设施</w:t>
            </w:r>
            <w:r>
              <w:rPr>
                <w:rFonts w:hint="eastAsia" w:ascii="宋体" w:hAnsi="宋体" w:eastAsia="宋体" w:cs="宋体"/>
                <w:i w:val="0"/>
                <w:iCs w:val="0"/>
                <w:color w:val="000000"/>
                <w:sz w:val="21"/>
                <w:szCs w:val="21"/>
                <w:highlight w:val="none"/>
                <w:u w:val="none"/>
              </w:rPr>
            </w:r>
            <w:r/>
          </w:p>
        </w:tc>
        <w:tc>
          <w:tcPr>
            <w:shd w:val="clear" w:color="ffffff" w:fill="ffffff"/>
            <w:tcW w:w="6120" w:type="dxa"/>
            <w:vAlign w:val="center"/>
            <w:textDirection w:val="lrTb"/>
            <w:noWrap w:val="false"/>
          </w:tcPr>
          <w:p>
            <w:pPr>
              <w:pStyle w:val="801"/>
              <w:jc w:val="left"/>
              <w:keepLines w:val="0"/>
              <w:keepNext w:val="0"/>
              <w:pageBreakBefore w:val="0"/>
              <w:spacing w:line="288"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1.施工部位:放置于二楼机柜。</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2.项目内容:含48 条尾纤、48个耦合器、配套理线架、标签制作，安装及调试。</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3.其他说明:相关配套电气可根据不同产品要求及现场条件适当调整，具体实施方案需符合相关规范要求，并报业主认可。</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lang w:val="en-US" w:eastAsia="zh-CN" w:bidi="ar"/>
              </w:rPr>
              <w:t xml:space="preserve">技术</w:t>
            </w:r>
            <w:r>
              <w:rPr>
                <w:rFonts w:hint="eastAsia" w:ascii="宋体" w:hAnsi="宋体" w:eastAsia="宋体" w:cs="宋体"/>
                <w:i w:val="0"/>
                <w:iCs w:val="0"/>
                <w:color w:val="000000"/>
                <w:sz w:val="21"/>
                <w:szCs w:val="21"/>
                <w:highlight w:val="none"/>
                <w:u w:val="none"/>
                <w:lang w:val="en-US" w:eastAsia="zh-CN" w:bidi="ar"/>
              </w:rPr>
              <w:t xml:space="preserve">要求:详见工程量清单编制说明及投标报价要求。</w:t>
            </w:r>
            <w:r>
              <w:rPr>
                <w:rFonts w:hint="eastAsia" w:ascii="宋体" w:hAnsi="宋体" w:eastAsia="宋体" w:cs="宋体"/>
                <w:i w:val="0"/>
                <w:iCs w:val="0"/>
                <w:color w:val="000000"/>
                <w:sz w:val="21"/>
                <w:szCs w:val="21"/>
                <w:highlight w:val="none"/>
                <w:u w:val="none"/>
              </w:rPr>
            </w:r>
            <w:r/>
          </w:p>
        </w:tc>
        <w:tc>
          <w:tcPr>
            <w:shd w:val="clear" w:color="ffffff" w:fill="ffffff"/>
            <w:tcW w:w="549" w:type="dxa"/>
            <w:vAlign w:val="center"/>
            <w:textDirection w:val="lrTb"/>
            <w:noWrap w:val="false"/>
          </w:tcPr>
          <w:p>
            <w:pPr>
              <w:pStyle w:val="801"/>
              <w:jc w:val="center"/>
              <w:keepLines w:val="0"/>
              <w:keepNext w:val="0"/>
              <w:pageBreakBefore w:val="0"/>
              <w:spacing w:line="288"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shd w:val="clear" w:color="ffffff" w:fill="ffffff"/>
            <w:tcW w:w="840" w:type="dxa"/>
            <w:vAlign w:val="center"/>
            <w:textDirection w:val="lrTb"/>
            <w:noWrap w:val="false"/>
          </w:tcPr>
          <w:p>
            <w:pPr>
              <w:pStyle w:val="801"/>
              <w:jc w:val="right"/>
              <w:keepLines w:val="0"/>
              <w:keepNext w:val="0"/>
              <w:pageBreakBefore w:val="0"/>
              <w:spacing w:line="288"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r>
      <w:tr>
        <w:trPr>
          <w:trHeight w:val="2814"/>
        </w:trPr>
        <w:tc>
          <w:tcPr>
            <w:shd w:val="clear" w:color="ffffff" w:fill="ffffff"/>
            <w:tcW w:w="430" w:type="dxa"/>
            <w:vAlign w:val="center"/>
            <w:textDirection w:val="lrTb"/>
            <w:noWrap w:val="false"/>
          </w:tcPr>
          <w:p>
            <w:pPr>
              <w:pStyle w:val="801"/>
              <w:jc w:val="center"/>
              <w:keepLines w:val="0"/>
              <w:keepNext w:val="0"/>
              <w:pageBreakBefore w:val="0"/>
              <w:spacing w:line="288"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w:t>
            </w:r>
            <w:r>
              <w:rPr>
                <w:rFonts w:hint="eastAsia" w:ascii="宋体" w:hAnsi="宋体" w:eastAsia="宋体" w:cs="宋体"/>
                <w:i w:val="0"/>
                <w:iCs w:val="0"/>
                <w:color w:val="000000"/>
                <w:sz w:val="21"/>
                <w:szCs w:val="21"/>
                <w:highlight w:val="none"/>
                <w:u w:val="none"/>
              </w:rPr>
            </w:r>
            <w:r/>
          </w:p>
        </w:tc>
        <w:tc>
          <w:tcPr>
            <w:shd w:val="clear" w:color="ffffff" w:fill="ffffff"/>
            <w:tcW w:w="1160" w:type="dxa"/>
            <w:vAlign w:val="center"/>
            <w:textDirection w:val="lrTb"/>
            <w:noWrap w:val="false"/>
          </w:tcPr>
          <w:p>
            <w:pPr>
              <w:pStyle w:val="801"/>
              <w:jc w:val="center"/>
              <w:keepLines w:val="0"/>
              <w:keepNext w:val="0"/>
              <w:pageBreakBefore w:val="0"/>
              <w:spacing w:line="288"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弱电机柜</w:t>
            </w:r>
            <w:r>
              <w:rPr>
                <w:rFonts w:hint="eastAsia" w:ascii="宋体" w:hAnsi="宋体" w:eastAsia="宋体" w:cs="宋体"/>
                <w:i w:val="0"/>
                <w:iCs w:val="0"/>
                <w:color w:val="000000"/>
                <w:sz w:val="21"/>
                <w:szCs w:val="21"/>
                <w:highlight w:val="none"/>
                <w:u w:val="none"/>
              </w:rPr>
            </w:r>
            <w:r/>
          </w:p>
        </w:tc>
        <w:tc>
          <w:tcPr>
            <w:shd w:val="clear" w:color="ffffff" w:fill="ffffff"/>
            <w:tcW w:w="6120" w:type="dxa"/>
            <w:vAlign w:val="center"/>
            <w:textDirection w:val="lrTb"/>
            <w:noWrap w:val="false"/>
          </w:tcPr>
          <w:p>
            <w:pPr>
              <w:pStyle w:val="801"/>
              <w:jc w:val="left"/>
              <w:keepLines w:val="0"/>
              <w:keepNext w:val="0"/>
              <w:pageBreakBefore w:val="0"/>
              <w:spacing w:line="288"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1.施工部位:放置于二楼机柜。</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2.项目内容:尺寸19 英寸，容量42U，包含C16A 漏报空开、4 路C10 断路器，2 个隔层板、2 个PDU、4 个竖向理线槽、6 套理线架、接地及标签制作，高度2.0m，采购前提供资料经招标人审核确认后实施；详细项目内容及设备参数要求详见说明。</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3.其他说明:相关配套电气可根据不同产品要求及现场条件适当调整，具体实施方案需符合相关规范要求，并报业主认可。</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lang w:val="en-US" w:eastAsia="zh-CN" w:bidi="ar"/>
              </w:rPr>
              <w:t xml:space="preserve">技术</w:t>
            </w:r>
            <w:r>
              <w:rPr>
                <w:rFonts w:hint="eastAsia" w:ascii="宋体" w:hAnsi="宋体" w:eastAsia="宋体" w:cs="宋体"/>
                <w:i w:val="0"/>
                <w:iCs w:val="0"/>
                <w:color w:val="000000"/>
                <w:sz w:val="21"/>
                <w:szCs w:val="21"/>
                <w:highlight w:val="none"/>
                <w:u w:val="none"/>
                <w:lang w:val="en-US" w:eastAsia="zh-CN" w:bidi="ar"/>
              </w:rPr>
              <w:t xml:space="preserve">要求:详见工程量清单编制说明及投标报价要求。</w:t>
            </w:r>
            <w:r>
              <w:rPr>
                <w:rFonts w:hint="eastAsia" w:ascii="宋体" w:hAnsi="宋体" w:eastAsia="宋体" w:cs="宋体"/>
                <w:i w:val="0"/>
                <w:iCs w:val="0"/>
                <w:color w:val="000000"/>
                <w:sz w:val="21"/>
                <w:szCs w:val="21"/>
                <w:highlight w:val="none"/>
                <w:u w:val="none"/>
              </w:rPr>
            </w:r>
            <w:r/>
          </w:p>
        </w:tc>
        <w:tc>
          <w:tcPr>
            <w:shd w:val="clear" w:color="ffffff" w:fill="ffffff"/>
            <w:tcW w:w="549" w:type="dxa"/>
            <w:vAlign w:val="center"/>
            <w:textDirection w:val="lrTb"/>
            <w:noWrap w:val="false"/>
          </w:tcPr>
          <w:p>
            <w:pPr>
              <w:pStyle w:val="801"/>
              <w:jc w:val="center"/>
              <w:keepLines w:val="0"/>
              <w:keepNext w:val="0"/>
              <w:pageBreakBefore w:val="0"/>
              <w:spacing w:line="288"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rPr>
                <w:rFonts w:hint="eastAsia" w:ascii="宋体" w:hAnsi="宋体" w:eastAsia="宋体" w:cs="宋体"/>
                <w:i w:val="0"/>
                <w:iCs w:val="0"/>
                <w:color w:val="000000"/>
                <w:sz w:val="21"/>
                <w:szCs w:val="21"/>
                <w:highlight w:val="none"/>
                <w:u w:val="none"/>
              </w:rPr>
            </w:r>
            <w:r/>
          </w:p>
        </w:tc>
        <w:tc>
          <w:tcPr>
            <w:shd w:val="clear" w:color="ffffff" w:fill="ffffff"/>
            <w:tcW w:w="840" w:type="dxa"/>
            <w:vAlign w:val="center"/>
            <w:textDirection w:val="lrTb"/>
            <w:noWrap w:val="false"/>
          </w:tcPr>
          <w:p>
            <w:pPr>
              <w:pStyle w:val="801"/>
              <w:jc w:val="right"/>
              <w:keepLines w:val="0"/>
              <w:keepNext w:val="0"/>
              <w:pageBreakBefore w:val="0"/>
              <w:spacing w:line="288"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r>
      <w:tr>
        <w:trPr>
          <w:trHeight w:val="2597"/>
        </w:trPr>
        <w:tc>
          <w:tcPr>
            <w:shd w:val="clear" w:color="ffffff" w:fill="ffffff"/>
            <w:tcW w:w="430" w:type="dxa"/>
            <w:vAlign w:val="center"/>
            <w:textDirection w:val="lrTb"/>
            <w:noWrap w:val="false"/>
          </w:tcPr>
          <w:p>
            <w:pPr>
              <w:pStyle w:val="801"/>
              <w:jc w:val="center"/>
              <w:keepLines w:val="0"/>
              <w:keepNext w:val="0"/>
              <w:pageBreakBefore w:val="0"/>
              <w:spacing w:line="288"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61</w:t>
            </w:r>
            <w:r>
              <w:rPr>
                <w:rFonts w:hint="eastAsia" w:ascii="宋体" w:hAnsi="宋体" w:eastAsia="宋体" w:cs="宋体"/>
                <w:i w:val="0"/>
                <w:iCs w:val="0"/>
                <w:color w:val="000000"/>
                <w:sz w:val="21"/>
                <w:szCs w:val="21"/>
                <w:highlight w:val="none"/>
                <w:u w:val="none"/>
              </w:rPr>
            </w:r>
            <w:r/>
          </w:p>
        </w:tc>
        <w:tc>
          <w:tcPr>
            <w:shd w:val="clear" w:color="ffffff" w:fill="ffffff"/>
            <w:tcW w:w="1160" w:type="dxa"/>
            <w:vAlign w:val="center"/>
            <w:textDirection w:val="lrTb"/>
            <w:noWrap w:val="false"/>
          </w:tcPr>
          <w:p>
            <w:pPr>
              <w:pStyle w:val="801"/>
              <w:jc w:val="center"/>
              <w:keepLines w:val="0"/>
              <w:keepNext w:val="0"/>
              <w:pageBreakBefore w:val="0"/>
              <w:spacing w:line="288"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旧弱电机柜（拆除及迁移）</w:t>
            </w:r>
            <w:r>
              <w:rPr>
                <w:rFonts w:hint="eastAsia" w:ascii="宋体" w:hAnsi="宋体" w:eastAsia="宋体" w:cs="宋体"/>
                <w:i w:val="0"/>
                <w:iCs w:val="0"/>
                <w:color w:val="000000"/>
                <w:sz w:val="21"/>
                <w:szCs w:val="21"/>
                <w:highlight w:val="none"/>
                <w:u w:val="none"/>
              </w:rPr>
            </w:r>
            <w:r/>
          </w:p>
        </w:tc>
        <w:tc>
          <w:tcPr>
            <w:shd w:val="clear" w:color="ffffff" w:fill="ffffff"/>
            <w:tcW w:w="6120" w:type="dxa"/>
            <w:vAlign w:val="center"/>
            <w:textDirection w:val="lrTb"/>
            <w:noWrap w:val="false"/>
          </w:tcPr>
          <w:p>
            <w:pPr>
              <w:pStyle w:val="801"/>
              <w:jc w:val="left"/>
              <w:keepLines w:val="0"/>
              <w:keepNext w:val="0"/>
              <w:pageBreakBefore w:val="0"/>
              <w:spacing w:line="288"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1.施工部位:放置于二楼机柜。</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2.项目内容:现场1.2m旧机柜拆除，内部设备迁移到新的机柜内并进行安装及调试。</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其他说明:拆除机柜存放到闸区业主指定位置，除建设单位要求移交的，其他均由承包人自行处置；⑵投标人需充分考虑现场状况及设计要求，按项报价，报价中应包含拆除、搬运、处置等所有费用，竣工结算不调整。</w:t>
            </w:r>
            <w:r>
              <w:rPr>
                <w:rFonts w:hint="eastAsia" w:ascii="宋体" w:hAnsi="宋体" w:eastAsia="宋体" w:cs="宋体"/>
                <w:i w:val="0"/>
                <w:iCs w:val="0"/>
                <w:color w:val="000000"/>
                <w:sz w:val="21"/>
                <w:szCs w:val="21"/>
                <w:highlight w:val="none"/>
                <w:u w:val="none"/>
              </w:rPr>
            </w:r>
            <w:r/>
          </w:p>
        </w:tc>
        <w:tc>
          <w:tcPr>
            <w:shd w:val="clear" w:color="ffffff" w:fill="ffffff"/>
            <w:tcW w:w="549" w:type="dxa"/>
            <w:vAlign w:val="center"/>
            <w:textDirection w:val="lrTb"/>
            <w:noWrap w:val="false"/>
          </w:tcPr>
          <w:p>
            <w:pPr>
              <w:pStyle w:val="801"/>
              <w:jc w:val="center"/>
              <w:keepLines w:val="0"/>
              <w:keepNext w:val="0"/>
              <w:pageBreakBefore w:val="0"/>
              <w:spacing w:line="288"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rPr>
                <w:rFonts w:hint="eastAsia" w:ascii="宋体" w:hAnsi="宋体" w:eastAsia="宋体" w:cs="宋体"/>
                <w:i w:val="0"/>
                <w:iCs w:val="0"/>
                <w:color w:val="000000"/>
                <w:sz w:val="21"/>
                <w:szCs w:val="21"/>
                <w:highlight w:val="none"/>
                <w:u w:val="none"/>
              </w:rPr>
            </w:r>
            <w:r/>
          </w:p>
        </w:tc>
        <w:tc>
          <w:tcPr>
            <w:shd w:val="clear" w:color="ffffff" w:fill="ffffff"/>
            <w:tcW w:w="840" w:type="dxa"/>
            <w:vAlign w:val="center"/>
            <w:textDirection w:val="lrTb"/>
            <w:noWrap w:val="false"/>
          </w:tcPr>
          <w:p>
            <w:pPr>
              <w:pStyle w:val="801"/>
              <w:jc w:val="right"/>
              <w:keepLines w:val="0"/>
              <w:keepNext w:val="0"/>
              <w:pageBreakBefore w:val="0"/>
              <w:spacing w:line="288"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r>
      <w:tr>
        <w:trPr>
          <w:trHeight w:val="2177"/>
        </w:trPr>
        <w:tc>
          <w:tcPr>
            <w:shd w:val="clear" w:color="ffffff" w:fill="ffffff"/>
            <w:tcW w:w="430" w:type="dxa"/>
            <w:vAlign w:val="center"/>
            <w:textDirection w:val="lrTb"/>
            <w:noWrap w:val="false"/>
          </w:tcPr>
          <w:p>
            <w:pPr>
              <w:pStyle w:val="801"/>
              <w:jc w:val="center"/>
              <w:keepLines w:val="0"/>
              <w:keepNext w:val="0"/>
              <w:pageBreakBefore w:val="0"/>
              <w:spacing w:line="288" w:lineRule="auto"/>
              <w:widowControl w:val="off"/>
              <w:rPr>
                <w:rFonts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62</w:t>
            </w:r>
            <w:r>
              <w:rPr>
                <w:rFonts w:ascii="宋体" w:hAnsi="宋体" w:eastAsia="宋体" w:cs="宋体"/>
                <w:i w:val="0"/>
                <w:iCs w:val="0"/>
                <w:color w:val="000000"/>
                <w:sz w:val="21"/>
                <w:szCs w:val="21"/>
                <w:highlight w:val="none"/>
                <w:u w:val="none"/>
                <w:lang w:val="en-US"/>
              </w:rPr>
            </w:r>
            <w:r/>
          </w:p>
        </w:tc>
        <w:tc>
          <w:tcPr>
            <w:shd w:val="clear" w:color="ffffff" w:fill="ffffff"/>
            <w:tcW w:w="1160" w:type="dxa"/>
            <w:vAlign w:val="center"/>
            <w:textDirection w:val="lrTb"/>
            <w:noWrap w:val="false"/>
          </w:tcPr>
          <w:p>
            <w:pPr>
              <w:pStyle w:val="801"/>
              <w:jc w:val="center"/>
              <w:keepLines w:val="0"/>
              <w:keepNext w:val="0"/>
              <w:pageBreakBefore w:val="0"/>
              <w:spacing w:line="288"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交换机</w:t>
            </w:r>
            <w:r>
              <w:rPr>
                <w:rFonts w:hint="eastAsia" w:ascii="宋体" w:hAnsi="宋体" w:eastAsia="宋体" w:cs="宋体"/>
                <w:i w:val="0"/>
                <w:iCs w:val="0"/>
                <w:color w:val="000000"/>
                <w:sz w:val="21"/>
                <w:szCs w:val="21"/>
                <w:highlight w:val="none"/>
                <w:u w:val="none"/>
              </w:rPr>
            </w:r>
            <w:r/>
          </w:p>
        </w:tc>
        <w:tc>
          <w:tcPr>
            <w:shd w:val="clear" w:color="ffffff" w:fill="ffffff"/>
            <w:tcW w:w="6120" w:type="dxa"/>
            <w:vAlign w:val="center"/>
            <w:textDirection w:val="lrTb"/>
            <w:noWrap w:val="false"/>
          </w:tcPr>
          <w:p>
            <w:pPr>
              <w:pStyle w:val="801"/>
              <w:jc w:val="left"/>
              <w:keepLines w:val="0"/>
              <w:keepNext w:val="0"/>
              <w:pageBreakBefore w:val="0"/>
              <w:spacing w:line="288"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1.项目内容:千兆三层交换机，包转发率不小于114Mpps、交换容量672Gbps/6 .72Tbps、16 个网口、4 个千兆光口、满配千兆光模块等。详细项目内容及设备参数要求详见说明。</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2.其他说明:相关配套电气可根据不同产品要求及现场条件适当调整，具体实施方案需符合相关规范要求，并报业主认可。</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lang w:val="en-US" w:eastAsia="zh-CN" w:bidi="ar"/>
              </w:rPr>
              <w:t xml:space="preserve">技术</w:t>
            </w:r>
            <w:r>
              <w:rPr>
                <w:rFonts w:hint="eastAsia" w:ascii="宋体" w:hAnsi="宋体" w:eastAsia="宋体" w:cs="宋体"/>
                <w:i w:val="0"/>
                <w:iCs w:val="0"/>
                <w:color w:val="000000"/>
                <w:sz w:val="21"/>
                <w:szCs w:val="21"/>
                <w:highlight w:val="none"/>
                <w:u w:val="none"/>
                <w:lang w:val="en-US" w:eastAsia="zh-CN" w:bidi="ar"/>
              </w:rPr>
              <w:t xml:space="preserve">要求:详见工程量清单编制说明及投标报价要求。</w:t>
            </w:r>
            <w:r>
              <w:rPr>
                <w:rFonts w:hint="eastAsia" w:ascii="宋体" w:hAnsi="宋体" w:eastAsia="宋体" w:cs="宋体"/>
                <w:i w:val="0"/>
                <w:iCs w:val="0"/>
                <w:color w:val="000000"/>
                <w:sz w:val="21"/>
                <w:szCs w:val="21"/>
                <w:highlight w:val="none"/>
                <w:u w:val="none"/>
              </w:rPr>
            </w:r>
            <w:r/>
          </w:p>
        </w:tc>
        <w:tc>
          <w:tcPr>
            <w:shd w:val="clear" w:color="ffffff" w:fill="ffffff"/>
            <w:tcW w:w="549" w:type="dxa"/>
            <w:vAlign w:val="center"/>
            <w:textDirection w:val="lrTb"/>
            <w:noWrap w:val="false"/>
          </w:tcPr>
          <w:p>
            <w:pPr>
              <w:pStyle w:val="801"/>
              <w:jc w:val="left"/>
              <w:keepLines w:val="0"/>
              <w:keepNext w:val="0"/>
              <w:pageBreakBefore w:val="0"/>
              <w:spacing w:line="288"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shd w:val="clear" w:color="ffffff" w:fill="ffffff"/>
            <w:tcW w:w="840" w:type="dxa"/>
            <w:vAlign w:val="center"/>
            <w:textDirection w:val="lrTb"/>
            <w:noWrap w:val="false"/>
          </w:tcPr>
          <w:p>
            <w:pPr>
              <w:pStyle w:val="801"/>
              <w:jc w:val="right"/>
              <w:keepLines w:val="0"/>
              <w:keepNext w:val="0"/>
              <w:pageBreakBefore w:val="0"/>
              <w:spacing w:line="288"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r>
      <w:tr>
        <w:trPr>
          <w:trHeight w:val="2177"/>
        </w:trPr>
        <w:tc>
          <w:tcPr>
            <w:shd w:val="clear" w:color="ffffff" w:fill="ffffff"/>
            <w:tcW w:w="430" w:type="dxa"/>
            <w:vAlign w:val="center"/>
            <w:textDirection w:val="lrTb"/>
            <w:noWrap w:val="false"/>
          </w:tcPr>
          <w:p>
            <w:pPr>
              <w:pStyle w:val="801"/>
              <w:jc w:val="center"/>
              <w:keepLines w:val="0"/>
              <w:keepNext w:val="0"/>
              <w:pageBreakBefore w:val="0"/>
              <w:spacing w:line="288" w:lineRule="auto"/>
              <w:widowControl w:val="off"/>
              <w:rPr>
                <w:rFonts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63</w:t>
            </w:r>
            <w:r>
              <w:rPr>
                <w:rFonts w:ascii="宋体" w:hAnsi="宋体" w:eastAsia="宋体" w:cs="宋体"/>
                <w:i w:val="0"/>
                <w:iCs w:val="0"/>
                <w:color w:val="000000"/>
                <w:sz w:val="21"/>
                <w:szCs w:val="21"/>
                <w:highlight w:val="none"/>
                <w:u w:val="none"/>
                <w:lang w:val="en-US"/>
              </w:rPr>
            </w:r>
            <w:r/>
          </w:p>
        </w:tc>
        <w:tc>
          <w:tcPr>
            <w:shd w:val="clear" w:color="ffffff" w:fill="ffffff"/>
            <w:tcW w:w="1160" w:type="dxa"/>
            <w:vAlign w:val="center"/>
            <w:textDirection w:val="lrTb"/>
            <w:noWrap w:val="false"/>
          </w:tcPr>
          <w:p>
            <w:pPr>
              <w:pStyle w:val="801"/>
              <w:jc w:val="center"/>
              <w:keepLines w:val="0"/>
              <w:keepNext w:val="0"/>
              <w:pageBreakBefore w:val="0"/>
              <w:spacing w:line="288"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临时工程及不断航措施费用</w:t>
            </w:r>
            <w:r>
              <w:rPr>
                <w:rFonts w:hint="eastAsia" w:ascii="宋体" w:hAnsi="宋体" w:eastAsia="宋体" w:cs="宋体"/>
                <w:i w:val="0"/>
                <w:iCs w:val="0"/>
                <w:color w:val="000000"/>
                <w:sz w:val="21"/>
                <w:szCs w:val="21"/>
                <w:highlight w:val="none"/>
                <w:u w:val="none"/>
              </w:rPr>
            </w:r>
            <w:r/>
          </w:p>
        </w:tc>
        <w:tc>
          <w:tcPr>
            <w:shd w:val="clear" w:color="ffffff" w:fill="ffffff"/>
            <w:tcW w:w="6120" w:type="dxa"/>
            <w:vAlign w:val="center"/>
            <w:textDirection w:val="lrTb"/>
            <w:noWrap w:val="false"/>
          </w:tcPr>
          <w:p>
            <w:pPr>
              <w:pStyle w:val="801"/>
              <w:numPr>
                <w:ilvl w:val="0"/>
                <w:numId w:val="4"/>
              </w:numPr>
              <w:jc w:val="left"/>
              <w:keepLines w:val="0"/>
              <w:keepNext w:val="0"/>
              <w:pageBreakBefore w:val="0"/>
              <w:spacing w:line="288" w:lineRule="auto"/>
              <w:widowControl w:val="off"/>
              <w:tabs>
                <w:tab w:val="left" w:pos="312" w:leader="none"/>
              </w:tabs>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项目内容:</w:t>
            </w:r>
            <w:r>
              <w:rPr>
                <w:rFonts w:hint="eastAsia" w:ascii="宋体" w:hAnsi="宋体" w:eastAsia="宋体" w:cs="宋体"/>
                <w:i w:val="0"/>
                <w:iCs w:val="0"/>
                <w:color w:val="000000"/>
                <w:sz w:val="21"/>
                <w:szCs w:val="21"/>
                <w:highlight w:val="none"/>
                <w:u w:val="none"/>
                <w:lang w:val="en-US" w:eastAsia="zh-CN" w:bidi="ar"/>
              </w:rPr>
            </w:r>
            <w:r/>
          </w:p>
          <w:p>
            <w:pPr>
              <w:pStyle w:val="801"/>
              <w:numPr>
                <w:ilvl w:val="0"/>
                <w:numId w:val="0"/>
              </w:numPr>
              <w:jc w:val="left"/>
              <w:keepLines w:val="0"/>
              <w:keepNext w:val="0"/>
              <w:pageBreakBefore w:val="0"/>
              <w:spacing w:line="288" w:lineRule="auto"/>
              <w:widowControl w:val="off"/>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⑴临时工程包括但不限于施工过程中临时水电、搭设临时施工栈桥便道、临时标志标牌、墩体、板梁尺寸测量核实、水下探摸、航道扫测等所有项目实；</w:t>
            </w:r>
            <w:r>
              <w:rPr>
                <w:rFonts w:hint="eastAsia" w:ascii="宋体" w:hAnsi="宋体" w:eastAsia="宋体" w:cs="宋体"/>
                <w:i w:val="0"/>
                <w:iCs w:val="0"/>
                <w:color w:val="000000"/>
                <w:sz w:val="21"/>
                <w:szCs w:val="21"/>
                <w:highlight w:val="none"/>
                <w:u w:val="none"/>
                <w:lang w:val="en-US" w:eastAsia="zh-CN" w:bidi="ar"/>
              </w:rPr>
            </w:r>
            <w:r/>
          </w:p>
          <w:p>
            <w:pPr>
              <w:pStyle w:val="801"/>
              <w:numPr>
                <w:ilvl w:val="0"/>
                <w:numId w:val="0"/>
              </w:numPr>
              <w:jc w:val="left"/>
              <w:keepLines w:val="0"/>
              <w:keepNext w:val="0"/>
              <w:pageBreakBefore w:val="0"/>
              <w:spacing w:line="288"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⑵施工过程中必须采取不断航措施及因采取不断航措施引起的施工降效等所有措施费用。</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2.其他说明:投标人应自行勘察现场，报价时充分考虑现场施工条件等各种不利因素，竣工结算不调整清单单价。</w:t>
            </w:r>
            <w:r>
              <w:rPr>
                <w:rFonts w:hint="eastAsia" w:ascii="宋体" w:hAnsi="宋体" w:eastAsia="宋体" w:cs="宋体"/>
                <w:i w:val="0"/>
                <w:iCs w:val="0"/>
                <w:color w:val="000000"/>
                <w:sz w:val="21"/>
                <w:szCs w:val="21"/>
                <w:highlight w:val="none"/>
                <w:u w:val="none"/>
              </w:rPr>
            </w:r>
            <w:r/>
          </w:p>
        </w:tc>
        <w:tc>
          <w:tcPr>
            <w:shd w:val="clear" w:color="ffffff" w:fill="ffffff"/>
            <w:tcW w:w="549" w:type="dxa"/>
            <w:vAlign w:val="center"/>
            <w:textDirection w:val="lrTb"/>
            <w:noWrap w:val="false"/>
          </w:tcPr>
          <w:p>
            <w:pPr>
              <w:pStyle w:val="801"/>
              <w:jc w:val="center"/>
              <w:keepLines w:val="0"/>
              <w:keepNext w:val="0"/>
              <w:pageBreakBefore w:val="0"/>
              <w:spacing w:line="288"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rPr>
                <w:rFonts w:hint="eastAsia" w:ascii="宋体" w:hAnsi="宋体" w:eastAsia="宋体" w:cs="宋体"/>
                <w:i w:val="0"/>
                <w:iCs w:val="0"/>
                <w:color w:val="000000"/>
                <w:sz w:val="21"/>
                <w:szCs w:val="21"/>
                <w:highlight w:val="none"/>
                <w:u w:val="none"/>
              </w:rPr>
            </w:r>
            <w:r/>
          </w:p>
        </w:tc>
        <w:tc>
          <w:tcPr>
            <w:shd w:val="clear" w:color="ffffff" w:fill="ffffff"/>
            <w:tcW w:w="840" w:type="dxa"/>
            <w:vAlign w:val="center"/>
            <w:textDirection w:val="lrTb"/>
            <w:noWrap w:val="false"/>
          </w:tcPr>
          <w:p>
            <w:pPr>
              <w:pStyle w:val="801"/>
              <w:jc w:val="right"/>
              <w:keepLines w:val="0"/>
              <w:keepNext w:val="0"/>
              <w:pageBreakBefore w:val="0"/>
              <w:spacing w:line="288"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r>
      <w:tr>
        <w:trPr>
          <w:trHeight w:val="1157"/>
        </w:trPr>
        <w:tc>
          <w:tcPr>
            <w:shd w:val="clear" w:color="ffffff" w:fill="ffffff"/>
            <w:tcW w:w="430" w:type="dxa"/>
            <w:vAlign w:val="center"/>
            <w:textDirection w:val="lrTb"/>
            <w:noWrap w:val="false"/>
          </w:tcPr>
          <w:p>
            <w:pPr>
              <w:pStyle w:val="801"/>
              <w:jc w:val="center"/>
              <w:keepLines w:val="0"/>
              <w:keepNext w:val="0"/>
              <w:pageBreakBefore w:val="0"/>
              <w:spacing w:line="288" w:lineRule="auto"/>
              <w:widowControl w:val="off"/>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64</w:t>
            </w:r>
            <w:r>
              <w:rPr>
                <w:rFonts w:hint="eastAsia" w:ascii="宋体" w:hAnsi="宋体" w:eastAsia="宋体" w:cs="宋体"/>
                <w:i w:val="0"/>
                <w:iCs w:val="0"/>
                <w:color w:val="000000"/>
                <w:sz w:val="21"/>
                <w:szCs w:val="21"/>
                <w:highlight w:val="none"/>
                <w:u w:val="none"/>
                <w:lang w:val="en-US" w:eastAsia="zh-CN" w:bidi="ar"/>
              </w:rPr>
            </w:r>
            <w:r/>
          </w:p>
        </w:tc>
        <w:tc>
          <w:tcPr>
            <w:shd w:val="clear" w:color="ffffff" w:fill="ffffff"/>
            <w:tcW w:w="1160" w:type="dxa"/>
            <w:vAlign w:val="center"/>
            <w:textDirection w:val="lrTb"/>
            <w:noWrap w:val="false"/>
          </w:tcPr>
          <w:p>
            <w:pPr>
              <w:pStyle w:val="801"/>
              <w:jc w:val="center"/>
              <w:keepLines w:val="0"/>
              <w:keepNext w:val="0"/>
              <w:pageBreakBefore w:val="0"/>
              <w:spacing w:line="288" w:lineRule="auto"/>
              <w:widowControl w:val="off"/>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安全生产费用</w:t>
            </w:r>
            <w:r>
              <w:rPr>
                <w:rFonts w:hint="eastAsia" w:ascii="宋体" w:hAnsi="宋体" w:eastAsia="宋体" w:cs="宋体"/>
                <w:i w:val="0"/>
                <w:iCs w:val="0"/>
                <w:color w:val="000000"/>
                <w:sz w:val="21"/>
                <w:szCs w:val="21"/>
                <w:highlight w:val="none"/>
                <w:u w:val="none"/>
                <w:lang w:val="en-US" w:eastAsia="zh-CN" w:bidi="ar"/>
              </w:rPr>
            </w:r>
            <w:r/>
          </w:p>
        </w:tc>
        <w:tc>
          <w:tcPr>
            <w:shd w:val="clear" w:color="ffffff" w:fill="ffffff"/>
            <w:tcW w:w="6120" w:type="dxa"/>
            <w:vAlign w:val="center"/>
            <w:textDirection w:val="lrTb"/>
            <w:noWrap w:val="false"/>
          </w:tcPr>
          <w:p>
            <w:pPr>
              <w:pStyle w:val="801"/>
              <w:jc w:val="left"/>
              <w:keepLines w:val="0"/>
              <w:keepNext w:val="0"/>
              <w:pageBreakBefore w:val="0"/>
              <w:spacing w:line="288" w:lineRule="auto"/>
              <w:widowControl w:val="off"/>
              <w:rPr>
                <w:rFonts w:hint="eastAsia" w:ascii="宋体" w:hAnsi="宋体" w:eastAsia="宋体" w:cs="宋体"/>
                <w:i w:val="0"/>
                <w:iCs w:val="0"/>
                <w:color w:val="000000"/>
                <w:sz w:val="21"/>
                <w:szCs w:val="21"/>
                <w:highlight w:val="none"/>
                <w:u w:val="none"/>
                <w:lang w:val="en-US" w:eastAsia="zh-CN" w:bidi="ar"/>
              </w:rPr>
              <w:suppressLineNumbers w:val="0"/>
            </w:pPr>
            <w:r>
              <w:rPr>
                <w:rStyle w:val="871"/>
                <w:color w:val="000000"/>
                <w:sz w:val="21"/>
                <w:szCs w:val="21"/>
                <w:highlight w:val="none"/>
                <w:lang w:val="en-US" w:eastAsia="zh-CN" w:bidi="ar"/>
              </w:rPr>
              <w:t xml:space="preserve">1.报价金额：安全生产费用金额为</w:t>
            </w:r>
            <w:r>
              <w:rPr>
                <w:rStyle w:val="871"/>
                <w:rFonts w:hint="eastAsia"/>
                <w:color w:val="000000"/>
                <w:sz w:val="21"/>
                <w:szCs w:val="21"/>
                <w:highlight w:val="none"/>
                <w:lang w:val="en-US" w:eastAsia="zh-CN" w:bidi="ar"/>
              </w:rPr>
              <w:t xml:space="preserve">192000元</w:t>
            </w:r>
            <w:r>
              <w:rPr>
                <w:rStyle w:val="871"/>
                <w:color w:val="000000"/>
                <w:sz w:val="21"/>
                <w:szCs w:val="21"/>
                <w:highlight w:val="none"/>
                <w:lang w:val="en-US" w:eastAsia="zh-CN" w:bidi="ar"/>
              </w:rPr>
              <w:t xml:space="preserve">。</w:t>
            </w:r>
            <w:r>
              <w:rPr>
                <w:rStyle w:val="871"/>
                <w:color w:val="000000"/>
                <w:sz w:val="21"/>
                <w:szCs w:val="21"/>
                <w:highlight w:val="none"/>
                <w:lang w:val="en-US" w:eastAsia="zh-CN" w:bidi="ar"/>
              </w:rPr>
              <w:br w:type="textWrapping" w:clear="all"/>
            </w:r>
            <w:r>
              <w:rPr>
                <w:rStyle w:val="871"/>
                <w:color w:val="000000"/>
                <w:sz w:val="21"/>
                <w:szCs w:val="21"/>
                <w:highlight w:val="none"/>
                <w:lang w:val="en-US" w:eastAsia="zh-CN" w:bidi="ar"/>
              </w:rPr>
              <w:t xml:space="preserve">2.报价规定：</w:t>
            </w:r>
            <w:r>
              <w:rPr>
                <w:rStyle w:val="872"/>
                <w:color w:val="000000"/>
                <w:sz w:val="21"/>
                <w:szCs w:val="21"/>
                <w:highlight w:val="none"/>
                <w:lang w:val="en-US" w:eastAsia="zh-CN" w:bidi="ar"/>
              </w:rPr>
              <w:t xml:space="preserve">本项为不可竞争费用，未报价或报价没有安装上述规定计算的投标文件均做无效标处理。</w:t>
            </w:r>
            <w:r>
              <w:rPr>
                <w:rFonts w:hint="eastAsia" w:ascii="宋体" w:hAnsi="宋体" w:eastAsia="宋体" w:cs="宋体"/>
                <w:i w:val="0"/>
                <w:iCs w:val="0"/>
                <w:color w:val="000000"/>
                <w:sz w:val="21"/>
                <w:szCs w:val="21"/>
                <w:highlight w:val="none"/>
                <w:u w:val="none"/>
                <w:lang w:val="en-US" w:eastAsia="zh-CN" w:bidi="ar"/>
              </w:rPr>
            </w:r>
            <w:r/>
          </w:p>
        </w:tc>
        <w:tc>
          <w:tcPr>
            <w:shd w:val="clear" w:color="ffffff" w:fill="ffffff"/>
            <w:tcW w:w="549" w:type="dxa"/>
            <w:vAlign w:val="center"/>
            <w:textDirection w:val="lrTb"/>
            <w:noWrap w:val="false"/>
          </w:tcPr>
          <w:p>
            <w:pPr>
              <w:pStyle w:val="801"/>
              <w:jc w:val="left"/>
              <w:keepLines w:val="0"/>
              <w:keepNext w:val="0"/>
              <w:pageBreakBefore w:val="0"/>
              <w:spacing w:line="288" w:lineRule="auto"/>
              <w:widowControl w:val="off"/>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rPr>
                <w:rFonts w:hint="eastAsia" w:ascii="宋体" w:hAnsi="宋体" w:eastAsia="宋体" w:cs="宋体"/>
                <w:i w:val="0"/>
                <w:iCs w:val="0"/>
                <w:color w:val="000000"/>
                <w:sz w:val="21"/>
                <w:szCs w:val="21"/>
                <w:highlight w:val="none"/>
                <w:u w:val="none"/>
                <w:lang w:val="en-US" w:eastAsia="zh-CN" w:bidi="ar"/>
              </w:rPr>
            </w:r>
            <w:r/>
          </w:p>
        </w:tc>
        <w:tc>
          <w:tcPr>
            <w:shd w:val="clear" w:color="ffffff" w:fill="ffffff"/>
            <w:tcW w:w="840" w:type="dxa"/>
            <w:vAlign w:val="center"/>
            <w:textDirection w:val="lrTb"/>
            <w:noWrap w:val="false"/>
          </w:tcPr>
          <w:p>
            <w:pPr>
              <w:pStyle w:val="801"/>
              <w:jc w:val="right"/>
              <w:keepLines w:val="0"/>
              <w:keepNext w:val="0"/>
              <w:pageBreakBefore w:val="0"/>
              <w:spacing w:line="288" w:lineRule="auto"/>
              <w:widowControl w:val="off"/>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lang w:val="en-US" w:eastAsia="zh-CN" w:bidi="ar"/>
              </w:rPr>
            </w:r>
            <w:r/>
          </w:p>
        </w:tc>
      </w:tr>
      <w:tr>
        <w:trPr>
          <w:trHeight w:val="1567"/>
        </w:trPr>
        <w:tc>
          <w:tcPr>
            <w:shd w:val="clear" w:color="ffffff" w:fill="ffffff"/>
            <w:tcW w:w="430" w:type="dxa"/>
            <w:vAlign w:val="center"/>
            <w:textDirection w:val="lrTb"/>
            <w:noWrap w:val="false"/>
          </w:tcPr>
          <w:p>
            <w:pPr>
              <w:pStyle w:val="801"/>
              <w:jc w:val="center"/>
              <w:keepLines w:val="0"/>
              <w:keepNext w:val="0"/>
              <w:pageBreakBefore w:val="0"/>
              <w:spacing w:line="288" w:lineRule="auto"/>
              <w:widowControl w:val="off"/>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65</w:t>
            </w:r>
            <w:r>
              <w:rPr>
                <w:rFonts w:hint="eastAsia" w:ascii="宋体" w:hAnsi="宋体" w:eastAsia="宋体" w:cs="宋体"/>
                <w:i w:val="0"/>
                <w:iCs w:val="0"/>
                <w:color w:val="000000"/>
                <w:sz w:val="21"/>
                <w:szCs w:val="21"/>
                <w:highlight w:val="none"/>
                <w:u w:val="none"/>
                <w:lang w:val="en-US" w:eastAsia="zh-CN" w:bidi="ar-SA"/>
              </w:rPr>
            </w:r>
            <w:r/>
          </w:p>
        </w:tc>
        <w:tc>
          <w:tcPr>
            <w:shd w:val="clear" w:color="ffffff" w:fill="ffffff"/>
            <w:tcW w:w="1160" w:type="dxa"/>
            <w:vAlign w:val="center"/>
            <w:textDirection w:val="lrTb"/>
            <w:noWrap w:val="false"/>
          </w:tcPr>
          <w:p>
            <w:pPr>
              <w:pStyle w:val="801"/>
              <w:jc w:val="center"/>
              <w:keepLines w:val="0"/>
              <w:keepNext w:val="0"/>
              <w:pageBreakBefore w:val="0"/>
              <w:spacing w:line="288" w:lineRule="auto"/>
              <w:widowControl w:val="off"/>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暂列金额</w:t>
            </w:r>
            <w:r>
              <w:rPr>
                <w:rFonts w:hint="eastAsia" w:ascii="宋体" w:hAnsi="宋体" w:eastAsia="宋体" w:cs="宋体"/>
                <w:i w:val="0"/>
                <w:iCs w:val="0"/>
                <w:color w:val="000000"/>
                <w:sz w:val="21"/>
                <w:szCs w:val="21"/>
                <w:highlight w:val="none"/>
                <w:u w:val="none"/>
                <w:lang w:val="en-US" w:eastAsia="zh-CN" w:bidi="ar-SA"/>
              </w:rPr>
            </w:r>
            <w:r/>
          </w:p>
        </w:tc>
        <w:tc>
          <w:tcPr>
            <w:shd w:val="clear" w:color="ffffff" w:fill="ffffff"/>
            <w:tcW w:w="6120" w:type="dxa"/>
            <w:vAlign w:val="center"/>
            <w:textDirection w:val="lrTb"/>
            <w:noWrap w:val="false"/>
          </w:tcPr>
          <w:p>
            <w:pPr>
              <w:pStyle w:val="801"/>
              <w:jc w:val="left"/>
              <w:keepLines w:val="0"/>
              <w:keepNext w:val="0"/>
              <w:pageBreakBefore w:val="0"/>
              <w:spacing w:line="288" w:lineRule="auto"/>
              <w:widowControl w:val="off"/>
              <w:rPr>
                <w:rFonts w:hint="eastAsia" w:ascii="宋体" w:hAnsi="宋体" w:eastAsia="宋体" w:cs="宋体"/>
                <w:i w:val="0"/>
                <w:iCs w:val="0"/>
                <w:color w:val="000000"/>
                <w:sz w:val="21"/>
                <w:szCs w:val="21"/>
                <w:highlight w:val="none"/>
                <w:u w:val="none"/>
                <w:lang w:val="en-US" w:eastAsia="zh-CN" w:bidi="ar-SA"/>
              </w:rPr>
              <w:suppressLineNumbers w:val="0"/>
            </w:pPr>
            <w:r>
              <w:rPr>
                <w:rStyle w:val="871"/>
                <w:color w:val="000000"/>
                <w:sz w:val="21"/>
                <w:szCs w:val="21"/>
                <w:highlight w:val="none"/>
                <w:lang w:val="en-US" w:eastAsia="zh-CN" w:bidi="ar"/>
              </w:rPr>
              <w:t xml:space="preserve">1.报价规定:</w:t>
            </w:r>
            <w:r>
              <w:rPr>
                <w:rStyle w:val="872"/>
                <w:color w:val="000000"/>
                <w:sz w:val="21"/>
                <w:szCs w:val="21"/>
                <w:highlight w:val="none"/>
                <w:lang w:val="en-US" w:eastAsia="zh-CN" w:bidi="ar"/>
              </w:rPr>
              <w:t xml:space="preserve">本暂列金</w:t>
            </w:r>
            <w:r>
              <w:rPr>
                <w:rStyle w:val="872"/>
                <w:rFonts w:hint="eastAsia"/>
                <w:color w:val="000000"/>
                <w:sz w:val="21"/>
                <w:szCs w:val="21"/>
                <w:highlight w:val="none"/>
                <w:lang w:val="en-US" w:eastAsia="zh-CN" w:bidi="ar"/>
              </w:rPr>
              <w:t xml:space="preserve">300000元</w:t>
            </w:r>
            <w:r>
              <w:rPr>
                <w:rStyle w:val="872"/>
                <w:color w:val="000000"/>
                <w:sz w:val="21"/>
                <w:szCs w:val="21"/>
                <w:highlight w:val="none"/>
                <w:lang w:val="en-US" w:eastAsia="zh-CN" w:bidi="ar"/>
              </w:rPr>
              <w:t xml:space="preserve">为不可让利项，投标人投标报价中变动本暂列金的投标评审中视为无效标。</w:t>
            </w:r>
            <w:r>
              <w:rPr>
                <w:rStyle w:val="871"/>
                <w:color w:val="000000"/>
                <w:sz w:val="21"/>
                <w:szCs w:val="21"/>
                <w:highlight w:val="none"/>
                <w:lang w:val="en-US" w:eastAsia="zh-CN" w:bidi="ar"/>
              </w:rPr>
              <w:br w:type="textWrapping" w:clear="all"/>
            </w:r>
            <w:r>
              <w:rPr>
                <w:rStyle w:val="871"/>
                <w:color w:val="000000"/>
                <w:sz w:val="21"/>
                <w:szCs w:val="21"/>
                <w:highlight w:val="none"/>
                <w:lang w:val="en-US" w:eastAsia="zh-CN" w:bidi="ar"/>
              </w:rPr>
              <w:t xml:space="preserve">2.管理规定:本暂列金用于本工程合同签订时尚未确定或不可预见的所需材料、工程设备、服务的采购，施工中可能发生的工程变更、合同约定调整因素出现时的合同价款调整以及发生的索赔、现场签证确认等的费用。</w:t>
            </w:r>
            <w:r>
              <w:rPr>
                <w:rFonts w:hint="eastAsia" w:ascii="宋体" w:hAnsi="宋体" w:eastAsia="宋体" w:cs="宋体"/>
                <w:i w:val="0"/>
                <w:iCs w:val="0"/>
                <w:color w:val="000000"/>
                <w:sz w:val="21"/>
                <w:szCs w:val="21"/>
                <w:highlight w:val="none"/>
                <w:u w:val="none"/>
                <w:lang w:val="en-US" w:eastAsia="zh-CN" w:bidi="ar-SA"/>
              </w:rPr>
            </w:r>
            <w:r/>
          </w:p>
        </w:tc>
        <w:tc>
          <w:tcPr>
            <w:shd w:val="clear" w:color="ffffff" w:fill="ffffff"/>
            <w:tcW w:w="549" w:type="dxa"/>
            <w:vAlign w:val="center"/>
            <w:textDirection w:val="lrTb"/>
            <w:noWrap w:val="false"/>
          </w:tcPr>
          <w:p>
            <w:pPr>
              <w:pStyle w:val="801"/>
              <w:jc w:val="center"/>
              <w:keepLines w:val="0"/>
              <w:keepNext w:val="0"/>
              <w:pageBreakBefore w:val="0"/>
              <w:spacing w:line="288" w:lineRule="auto"/>
              <w:widowControl w:val="off"/>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rPr>
                <w:rFonts w:hint="eastAsia" w:ascii="宋体" w:hAnsi="宋体" w:eastAsia="宋体" w:cs="宋体"/>
                <w:i w:val="0"/>
                <w:iCs w:val="0"/>
                <w:color w:val="000000"/>
                <w:sz w:val="21"/>
                <w:szCs w:val="21"/>
                <w:highlight w:val="none"/>
                <w:u w:val="none"/>
                <w:lang w:val="en-US" w:eastAsia="zh-CN" w:bidi="ar-SA"/>
              </w:rPr>
            </w:r>
            <w:r/>
          </w:p>
        </w:tc>
        <w:tc>
          <w:tcPr>
            <w:shd w:val="clear" w:color="ffffff" w:fill="ffffff"/>
            <w:tcW w:w="840" w:type="dxa"/>
            <w:vAlign w:val="center"/>
            <w:textDirection w:val="lrTb"/>
            <w:noWrap w:val="false"/>
          </w:tcPr>
          <w:p>
            <w:pPr>
              <w:pStyle w:val="801"/>
              <w:jc w:val="right"/>
              <w:keepLines w:val="0"/>
              <w:keepNext w:val="0"/>
              <w:pageBreakBefore w:val="0"/>
              <w:spacing w:line="288" w:lineRule="auto"/>
              <w:widowControl w:val="off"/>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lang w:val="en-US" w:eastAsia="zh-CN" w:bidi="ar-SA"/>
              </w:rPr>
            </w:r>
            <w:r/>
          </w:p>
        </w:tc>
      </w:tr>
      <w:tr>
        <w:trPr>
          <w:trHeight w:val="230"/>
        </w:trPr>
        <w:tc>
          <w:tcPr>
            <w:tcW w:w="430" w:type="dxa"/>
            <w:vAlign w:val="bottom"/>
            <w:textDirection w:val="lrTb"/>
            <w:noWrap/>
          </w:tcPr>
          <w:p>
            <w:pPr>
              <w:pStyle w:val="801"/>
              <w:rPr>
                <w:rFonts w:hint="eastAsia" w:ascii="??" w:hAnsi="??" w:eastAsia="??" w:cs="??"/>
                <w:i w:val="0"/>
                <w:iCs w:val="0"/>
                <w:color w:val="000000"/>
                <w:sz w:val="18"/>
                <w:szCs w:val="18"/>
                <w:highlight w:val="none"/>
                <w:u w:val="none"/>
              </w:rPr>
            </w:pPr>
            <w:r>
              <w:rPr>
                <w:rFonts w:hint="eastAsia" w:ascii="??" w:hAnsi="??" w:eastAsia="??" w:cs="??"/>
                <w:i w:val="0"/>
                <w:iCs w:val="0"/>
                <w:color w:val="000000"/>
                <w:sz w:val="18"/>
                <w:szCs w:val="18"/>
                <w:highlight w:val="none"/>
                <w:u w:val="none"/>
              </w:rPr>
            </w:r>
            <w:r/>
          </w:p>
        </w:tc>
        <w:tc>
          <w:tcPr>
            <w:tcW w:w="1160" w:type="dxa"/>
            <w:vAlign w:val="bottom"/>
            <w:textDirection w:val="lrTb"/>
            <w:noWrap/>
          </w:tcPr>
          <w:p>
            <w:pPr>
              <w:pStyle w:val="801"/>
              <w:rPr>
                <w:rFonts w:ascii="??" w:hAnsi="??" w:eastAsia="??" w:cs="??"/>
                <w:i w:val="0"/>
                <w:iCs w:val="0"/>
                <w:color w:val="000000"/>
                <w:sz w:val="18"/>
                <w:szCs w:val="18"/>
                <w:highlight w:val="none"/>
                <w:u w:val="none"/>
              </w:rPr>
            </w:pPr>
            <w:r>
              <w:rPr>
                <w:rFonts w:ascii="??" w:hAnsi="??" w:eastAsia="??" w:cs="??"/>
                <w:i w:val="0"/>
                <w:iCs w:val="0"/>
                <w:color w:val="000000"/>
                <w:sz w:val="18"/>
                <w:szCs w:val="18"/>
                <w:highlight w:val="none"/>
                <w:u w:val="none"/>
              </w:rPr>
            </w:r>
            <w:r/>
          </w:p>
        </w:tc>
        <w:tc>
          <w:tcPr>
            <w:tcW w:w="6120" w:type="dxa"/>
            <w:vAlign w:val="bottom"/>
            <w:textDirection w:val="lrTb"/>
            <w:noWrap/>
          </w:tcPr>
          <w:p>
            <w:pPr>
              <w:pStyle w:val="801"/>
              <w:jc w:val="left"/>
              <w:rPr>
                <w:rFonts w:ascii="??" w:hAnsi="??" w:eastAsia="??" w:cs="??"/>
                <w:i w:val="0"/>
                <w:iCs w:val="0"/>
                <w:color w:val="000000"/>
                <w:sz w:val="18"/>
                <w:szCs w:val="18"/>
                <w:highlight w:val="none"/>
                <w:u w:val="none"/>
              </w:rPr>
            </w:pPr>
            <w:r>
              <w:rPr>
                <w:rFonts w:ascii="??" w:hAnsi="??" w:eastAsia="??" w:cs="??"/>
                <w:i w:val="0"/>
                <w:iCs w:val="0"/>
                <w:color w:val="000000"/>
                <w:sz w:val="18"/>
                <w:szCs w:val="18"/>
                <w:highlight w:val="none"/>
                <w:u w:val="none"/>
              </w:rPr>
            </w:r>
            <w:r/>
          </w:p>
        </w:tc>
        <w:tc>
          <w:tcPr>
            <w:tcW w:w="549" w:type="dxa"/>
            <w:vAlign w:val="bottom"/>
            <w:textDirection w:val="lrTb"/>
            <w:noWrap/>
          </w:tcPr>
          <w:p>
            <w:pPr>
              <w:pStyle w:val="801"/>
              <w:rPr>
                <w:rFonts w:ascii="??" w:hAnsi="??" w:eastAsia="??" w:cs="??"/>
                <w:i w:val="0"/>
                <w:iCs w:val="0"/>
                <w:color w:val="000000"/>
                <w:sz w:val="18"/>
                <w:szCs w:val="18"/>
                <w:highlight w:val="none"/>
                <w:u w:val="none"/>
              </w:rPr>
            </w:pPr>
            <w:r>
              <w:rPr>
                <w:rFonts w:ascii="??" w:hAnsi="??" w:eastAsia="??" w:cs="??"/>
                <w:i w:val="0"/>
                <w:iCs w:val="0"/>
                <w:color w:val="000000"/>
                <w:sz w:val="18"/>
                <w:szCs w:val="18"/>
                <w:highlight w:val="none"/>
                <w:u w:val="none"/>
              </w:rPr>
            </w:r>
            <w:r/>
          </w:p>
        </w:tc>
        <w:tc>
          <w:tcPr>
            <w:tcW w:w="840" w:type="dxa"/>
            <w:vAlign w:val="bottom"/>
            <w:textDirection w:val="lrTb"/>
            <w:noWrap/>
          </w:tcPr>
          <w:p>
            <w:pPr>
              <w:pStyle w:val="801"/>
              <w:jc w:val="right"/>
              <w:rPr>
                <w:rFonts w:ascii="??" w:hAnsi="??" w:eastAsia="??" w:cs="??"/>
                <w:i w:val="0"/>
                <w:iCs w:val="0"/>
                <w:color w:val="000000"/>
                <w:sz w:val="18"/>
                <w:szCs w:val="18"/>
                <w:highlight w:val="none"/>
                <w:u w:val="none"/>
              </w:rPr>
            </w:pPr>
            <w:r>
              <w:rPr>
                <w:rFonts w:ascii="??" w:hAnsi="??" w:eastAsia="??" w:cs="??"/>
                <w:i w:val="0"/>
                <w:iCs w:val="0"/>
                <w:color w:val="000000"/>
                <w:sz w:val="18"/>
                <w:szCs w:val="18"/>
                <w:highlight w:val="none"/>
                <w:u w:val="none"/>
              </w:rPr>
            </w:r>
            <w:r/>
          </w:p>
        </w:tc>
      </w:tr>
      <w:tr>
        <w:trPr>
          <w:trHeight w:val="230"/>
        </w:trPr>
        <w:tc>
          <w:tcPr>
            <w:tcW w:w="430" w:type="dxa"/>
            <w:vAlign w:val="bottom"/>
            <w:textDirection w:val="lrTb"/>
            <w:noWrap/>
          </w:tcPr>
          <w:p>
            <w:pPr>
              <w:pStyle w:val="801"/>
              <w:rPr>
                <w:rFonts w:hint="eastAsia" w:ascii="??" w:hAnsi="??" w:eastAsia="??" w:cs="??"/>
                <w:i w:val="0"/>
                <w:iCs w:val="0"/>
                <w:color w:val="000000"/>
                <w:sz w:val="18"/>
                <w:szCs w:val="18"/>
                <w:highlight w:val="none"/>
                <w:u w:val="none"/>
              </w:rPr>
            </w:pPr>
            <w:r>
              <w:rPr>
                <w:rFonts w:hint="eastAsia" w:ascii="??" w:hAnsi="??" w:eastAsia="??" w:cs="??"/>
                <w:i w:val="0"/>
                <w:iCs w:val="0"/>
                <w:color w:val="000000"/>
                <w:sz w:val="18"/>
                <w:szCs w:val="18"/>
                <w:highlight w:val="none"/>
                <w:u w:val="none"/>
              </w:rPr>
            </w:r>
            <w:r/>
          </w:p>
        </w:tc>
        <w:tc>
          <w:tcPr>
            <w:tcW w:w="1160" w:type="dxa"/>
            <w:vAlign w:val="bottom"/>
            <w:textDirection w:val="lrTb"/>
            <w:noWrap/>
          </w:tcPr>
          <w:p>
            <w:pPr>
              <w:pStyle w:val="801"/>
              <w:rPr>
                <w:rFonts w:ascii="??" w:hAnsi="??" w:eastAsia="??" w:cs="??"/>
                <w:i w:val="0"/>
                <w:iCs w:val="0"/>
                <w:color w:val="000000"/>
                <w:sz w:val="18"/>
                <w:szCs w:val="18"/>
                <w:highlight w:val="none"/>
                <w:u w:val="none"/>
              </w:rPr>
            </w:pPr>
            <w:r>
              <w:rPr>
                <w:rFonts w:ascii="??" w:hAnsi="??" w:eastAsia="??" w:cs="??"/>
                <w:i w:val="0"/>
                <w:iCs w:val="0"/>
                <w:color w:val="000000"/>
                <w:sz w:val="18"/>
                <w:szCs w:val="18"/>
                <w:highlight w:val="none"/>
                <w:u w:val="none"/>
              </w:rPr>
            </w:r>
            <w:r/>
          </w:p>
        </w:tc>
        <w:tc>
          <w:tcPr>
            <w:tcW w:w="6120" w:type="dxa"/>
            <w:vAlign w:val="bottom"/>
            <w:textDirection w:val="lrTb"/>
            <w:noWrap/>
          </w:tcPr>
          <w:p>
            <w:pPr>
              <w:pStyle w:val="801"/>
              <w:jc w:val="left"/>
              <w:rPr>
                <w:rFonts w:ascii="??" w:hAnsi="??" w:eastAsia="??" w:cs="??"/>
                <w:i w:val="0"/>
                <w:iCs w:val="0"/>
                <w:color w:val="000000"/>
                <w:sz w:val="18"/>
                <w:szCs w:val="18"/>
                <w:highlight w:val="none"/>
                <w:u w:val="none"/>
              </w:rPr>
            </w:pPr>
            <w:r>
              <w:rPr>
                <w:rFonts w:ascii="??" w:hAnsi="??" w:eastAsia="??" w:cs="??"/>
                <w:i w:val="0"/>
                <w:iCs w:val="0"/>
                <w:color w:val="000000"/>
                <w:sz w:val="18"/>
                <w:szCs w:val="18"/>
                <w:highlight w:val="none"/>
                <w:u w:val="none"/>
              </w:rPr>
            </w:r>
            <w:r/>
          </w:p>
        </w:tc>
        <w:tc>
          <w:tcPr>
            <w:tcW w:w="549" w:type="dxa"/>
            <w:vAlign w:val="bottom"/>
            <w:textDirection w:val="lrTb"/>
            <w:noWrap/>
          </w:tcPr>
          <w:p>
            <w:pPr>
              <w:pStyle w:val="801"/>
              <w:rPr>
                <w:rFonts w:ascii="??" w:hAnsi="??" w:eastAsia="??" w:cs="??"/>
                <w:i w:val="0"/>
                <w:iCs w:val="0"/>
                <w:color w:val="000000"/>
                <w:sz w:val="18"/>
                <w:szCs w:val="18"/>
                <w:highlight w:val="none"/>
                <w:u w:val="none"/>
              </w:rPr>
            </w:pPr>
            <w:r>
              <w:rPr>
                <w:rFonts w:ascii="??" w:hAnsi="??" w:eastAsia="??" w:cs="??"/>
                <w:i w:val="0"/>
                <w:iCs w:val="0"/>
                <w:color w:val="000000"/>
                <w:sz w:val="18"/>
                <w:szCs w:val="18"/>
                <w:highlight w:val="none"/>
                <w:u w:val="none"/>
              </w:rPr>
            </w:r>
            <w:r/>
          </w:p>
        </w:tc>
        <w:tc>
          <w:tcPr>
            <w:tcW w:w="840" w:type="dxa"/>
            <w:vAlign w:val="bottom"/>
            <w:textDirection w:val="lrTb"/>
            <w:noWrap/>
          </w:tcPr>
          <w:p>
            <w:pPr>
              <w:pStyle w:val="801"/>
              <w:jc w:val="right"/>
              <w:rPr>
                <w:rFonts w:ascii="??" w:hAnsi="??" w:eastAsia="??" w:cs="??"/>
                <w:i w:val="0"/>
                <w:iCs w:val="0"/>
                <w:color w:val="000000"/>
                <w:sz w:val="18"/>
                <w:szCs w:val="18"/>
                <w:highlight w:val="none"/>
                <w:u w:val="none"/>
              </w:rPr>
            </w:pPr>
            <w:r>
              <w:rPr>
                <w:rFonts w:ascii="??" w:hAnsi="??" w:eastAsia="??" w:cs="??"/>
                <w:i w:val="0"/>
                <w:iCs w:val="0"/>
                <w:color w:val="000000"/>
                <w:sz w:val="18"/>
                <w:szCs w:val="18"/>
                <w:highlight w:val="none"/>
                <w:u w:val="none"/>
              </w:rPr>
            </w:r>
            <w:r/>
          </w:p>
        </w:tc>
      </w:tr>
      <w:tr>
        <w:trPr>
          <w:trHeight w:val="230"/>
        </w:trPr>
        <w:tc>
          <w:tcPr>
            <w:tcW w:w="430" w:type="dxa"/>
            <w:vAlign w:val="bottom"/>
            <w:textDirection w:val="lrTb"/>
            <w:noWrap/>
          </w:tcPr>
          <w:p>
            <w:pPr>
              <w:pStyle w:val="801"/>
              <w:rPr>
                <w:rFonts w:hint="eastAsia" w:ascii="??" w:hAnsi="??" w:eastAsia="??" w:cs="??"/>
                <w:i w:val="0"/>
                <w:iCs w:val="0"/>
                <w:color w:val="000000"/>
                <w:sz w:val="18"/>
                <w:szCs w:val="18"/>
                <w:highlight w:val="none"/>
                <w:u w:val="none"/>
              </w:rPr>
            </w:pPr>
            <w:r>
              <w:rPr>
                <w:rFonts w:hint="eastAsia" w:ascii="??" w:hAnsi="??" w:eastAsia="??" w:cs="??"/>
                <w:i w:val="0"/>
                <w:iCs w:val="0"/>
                <w:color w:val="000000"/>
                <w:sz w:val="18"/>
                <w:szCs w:val="18"/>
                <w:highlight w:val="none"/>
                <w:u w:val="none"/>
              </w:rPr>
            </w:r>
            <w:r/>
          </w:p>
        </w:tc>
        <w:tc>
          <w:tcPr>
            <w:tcW w:w="1160" w:type="dxa"/>
            <w:vAlign w:val="bottom"/>
            <w:textDirection w:val="lrTb"/>
            <w:noWrap/>
          </w:tcPr>
          <w:p>
            <w:pPr>
              <w:pStyle w:val="801"/>
              <w:rPr>
                <w:rFonts w:ascii="??" w:hAnsi="??" w:eastAsia="??" w:cs="??"/>
                <w:i w:val="0"/>
                <w:iCs w:val="0"/>
                <w:color w:val="000000"/>
                <w:sz w:val="18"/>
                <w:szCs w:val="18"/>
                <w:highlight w:val="none"/>
                <w:u w:val="none"/>
              </w:rPr>
            </w:pPr>
            <w:r>
              <w:rPr>
                <w:rFonts w:ascii="??" w:hAnsi="??" w:eastAsia="??" w:cs="??"/>
                <w:i w:val="0"/>
                <w:iCs w:val="0"/>
                <w:color w:val="000000"/>
                <w:sz w:val="18"/>
                <w:szCs w:val="18"/>
                <w:highlight w:val="none"/>
                <w:u w:val="none"/>
              </w:rPr>
            </w:r>
            <w:r/>
          </w:p>
        </w:tc>
        <w:tc>
          <w:tcPr>
            <w:tcW w:w="6120" w:type="dxa"/>
            <w:vAlign w:val="bottom"/>
            <w:textDirection w:val="lrTb"/>
            <w:noWrap/>
          </w:tcPr>
          <w:p>
            <w:pPr>
              <w:pStyle w:val="801"/>
              <w:jc w:val="left"/>
              <w:rPr>
                <w:rFonts w:ascii="??" w:hAnsi="??" w:eastAsia="??" w:cs="??"/>
                <w:i w:val="0"/>
                <w:iCs w:val="0"/>
                <w:color w:val="000000"/>
                <w:sz w:val="18"/>
                <w:szCs w:val="18"/>
                <w:highlight w:val="none"/>
                <w:u w:val="none"/>
              </w:rPr>
            </w:pPr>
            <w:r>
              <w:rPr>
                <w:rFonts w:ascii="??" w:hAnsi="??" w:eastAsia="??" w:cs="??"/>
                <w:i w:val="0"/>
                <w:iCs w:val="0"/>
                <w:color w:val="000000"/>
                <w:sz w:val="18"/>
                <w:szCs w:val="18"/>
                <w:highlight w:val="none"/>
                <w:u w:val="none"/>
              </w:rPr>
            </w:r>
            <w:r/>
          </w:p>
        </w:tc>
        <w:tc>
          <w:tcPr>
            <w:tcW w:w="549" w:type="dxa"/>
            <w:vAlign w:val="bottom"/>
            <w:textDirection w:val="lrTb"/>
            <w:noWrap/>
          </w:tcPr>
          <w:p>
            <w:pPr>
              <w:pStyle w:val="801"/>
              <w:rPr>
                <w:rFonts w:ascii="??" w:hAnsi="??" w:eastAsia="??" w:cs="??"/>
                <w:i w:val="0"/>
                <w:iCs w:val="0"/>
                <w:color w:val="000000"/>
                <w:sz w:val="18"/>
                <w:szCs w:val="18"/>
                <w:highlight w:val="none"/>
                <w:u w:val="none"/>
              </w:rPr>
            </w:pPr>
            <w:r>
              <w:rPr>
                <w:rFonts w:ascii="??" w:hAnsi="??" w:eastAsia="??" w:cs="??"/>
                <w:i w:val="0"/>
                <w:iCs w:val="0"/>
                <w:color w:val="000000"/>
                <w:sz w:val="18"/>
                <w:szCs w:val="18"/>
                <w:highlight w:val="none"/>
                <w:u w:val="none"/>
              </w:rPr>
            </w:r>
            <w:r/>
          </w:p>
        </w:tc>
        <w:tc>
          <w:tcPr>
            <w:tcW w:w="840" w:type="dxa"/>
            <w:vAlign w:val="bottom"/>
            <w:textDirection w:val="lrTb"/>
            <w:noWrap/>
          </w:tcPr>
          <w:p>
            <w:pPr>
              <w:pStyle w:val="801"/>
              <w:jc w:val="right"/>
              <w:rPr>
                <w:rFonts w:ascii="??" w:hAnsi="??" w:eastAsia="??" w:cs="??"/>
                <w:i w:val="0"/>
                <w:iCs w:val="0"/>
                <w:color w:val="000000"/>
                <w:sz w:val="18"/>
                <w:szCs w:val="18"/>
                <w:highlight w:val="none"/>
                <w:u w:val="none"/>
              </w:rPr>
            </w:pPr>
            <w:r>
              <w:rPr>
                <w:rFonts w:ascii="??" w:hAnsi="??" w:eastAsia="??" w:cs="??"/>
                <w:i w:val="0"/>
                <w:iCs w:val="0"/>
                <w:color w:val="000000"/>
                <w:sz w:val="18"/>
                <w:szCs w:val="18"/>
                <w:highlight w:val="none"/>
                <w:u w:val="none"/>
              </w:rPr>
            </w:r>
            <w:r/>
          </w:p>
        </w:tc>
      </w:tr>
    </w:tbl>
    <w:p>
      <w:pPr>
        <w:pStyle w:val="801"/>
        <w:numPr>
          <w:ilvl w:val="0"/>
          <w:numId w:val="0"/>
        </w:numPr>
        <w:jc w:val="center"/>
        <w:spacing w:line="360" w:lineRule="auto"/>
        <w:widowControl w:val="off"/>
        <w:rPr>
          <w:rFonts w:hint="eastAsia" w:ascii="宋体" w:hAnsi="宋体" w:eastAsia="宋体" w:cs="宋体"/>
          <w:b/>
          <w:bCs/>
          <w:color w:val="000000"/>
          <w:sz w:val="32"/>
          <w:szCs w:val="32"/>
          <w:highlight w:val="none"/>
        </w:rPr>
        <w:sectPr>
          <w:footerReference w:type="default" r:id="rId14"/>
          <w:footnotePr/>
          <w:endnotePr/>
          <w:type w:val="nextPage"/>
          <w:pgSz w:w="11906" w:h="16838" w:orient="portrait"/>
          <w:pgMar w:top="1417" w:right="1417" w:bottom="1417" w:left="1417" w:header="851" w:footer="992" w:gutter="0"/>
          <w:cols w:num="1" w:sep="0" w:space="1701" w:equalWidth="1"/>
          <w:docGrid w:linePitch="360"/>
        </w:sectPr>
      </w:pPr>
      <w:r>
        <w:rPr>
          <w:rFonts w:hint="eastAsia" w:ascii="宋体" w:hAnsi="宋体" w:eastAsia="宋体" w:cs="宋体"/>
          <w:b/>
          <w:bCs/>
          <w:color w:val="000000"/>
          <w:sz w:val="32"/>
          <w:szCs w:val="32"/>
          <w:highlight w:val="none"/>
        </w:rPr>
      </w:r>
      <w:r/>
    </w:p>
    <w:p>
      <w:pPr>
        <w:pStyle w:val="802"/>
        <w:jc w:val="center"/>
        <w:spacing w:before="0" w:after="0" w:line="360" w:lineRule="auto"/>
        <w:tabs>
          <w:tab w:val="left" w:pos="0" w:leader="none"/>
          <w:tab w:val="left" w:pos="3165" w:leader="none"/>
          <w:tab w:val="center" w:pos="4153" w:leader="none"/>
        </w:tabs>
        <w:rPr>
          <w:rFonts w:hint="eastAsia" w:ascii="宋体" w:hAnsi="宋体" w:eastAsia="宋体" w:cs="宋体"/>
          <w:color w:val="000000"/>
          <w:sz w:val="40"/>
          <w:highlight w:val="none"/>
        </w:rPr>
      </w:pPr>
      <w:r>
        <w:rPr>
          <w:rFonts w:hint="eastAsia" w:ascii="宋体" w:hAnsi="宋体" w:eastAsia="宋体" w:cs="宋体"/>
          <w:color w:val="000000"/>
          <w:sz w:val="40"/>
          <w:highlight w:val="none"/>
        </w:rPr>
      </w:r>
      <w:r/>
    </w:p>
    <w:p>
      <w:pPr>
        <w:pStyle w:val="802"/>
        <w:jc w:val="center"/>
        <w:spacing w:before="0" w:after="0" w:line="360" w:lineRule="auto"/>
        <w:tabs>
          <w:tab w:val="left" w:pos="0" w:leader="none"/>
          <w:tab w:val="left" w:pos="3165" w:leader="none"/>
          <w:tab w:val="center" w:pos="4153" w:leader="none"/>
        </w:tabs>
        <w:rPr>
          <w:rFonts w:hint="eastAsia" w:ascii="宋体" w:hAnsi="宋体" w:eastAsia="宋体" w:cs="宋体"/>
          <w:color w:val="000000"/>
          <w:sz w:val="40"/>
          <w:highlight w:val="none"/>
        </w:rPr>
      </w:pPr>
      <w:r/>
      <w:bookmarkStart w:id="168" w:name="_Toc406752730"/>
      <w:r>
        <w:rPr>
          <w:rFonts w:hint="eastAsia" w:ascii="宋体" w:hAnsi="宋体" w:eastAsia="宋体" w:cs="宋体"/>
          <w:color w:val="000000"/>
          <w:sz w:val="40"/>
          <w:highlight w:val="none"/>
        </w:rPr>
      </w:r>
      <w:r/>
    </w:p>
    <w:p>
      <w:pPr>
        <w:pStyle w:val="802"/>
        <w:jc w:val="center"/>
        <w:spacing w:before="0" w:after="0" w:line="360" w:lineRule="auto"/>
        <w:tabs>
          <w:tab w:val="left" w:pos="0" w:leader="none"/>
          <w:tab w:val="left" w:pos="3165" w:leader="none"/>
          <w:tab w:val="center" w:pos="4153" w:leader="none"/>
        </w:tabs>
        <w:rPr>
          <w:rFonts w:hint="eastAsia" w:ascii="宋体" w:hAnsi="宋体" w:eastAsia="宋体" w:cs="宋体"/>
          <w:color w:val="000000"/>
          <w:sz w:val="40"/>
          <w:highlight w:val="none"/>
        </w:rPr>
      </w:pPr>
      <w:r>
        <w:rPr>
          <w:rFonts w:hint="eastAsia" w:ascii="宋体" w:hAnsi="宋体" w:eastAsia="宋体" w:cs="宋体"/>
          <w:color w:val="000000"/>
          <w:sz w:val="40"/>
          <w:highlight w:val="none"/>
        </w:rPr>
      </w:r>
      <w:r/>
    </w:p>
    <w:p>
      <w:pPr>
        <w:pStyle w:val="802"/>
        <w:jc w:val="center"/>
        <w:spacing w:before="0" w:after="0" w:line="360" w:lineRule="auto"/>
        <w:tabs>
          <w:tab w:val="left" w:pos="0" w:leader="none"/>
          <w:tab w:val="left" w:pos="3165" w:leader="none"/>
          <w:tab w:val="center" w:pos="4153" w:leader="none"/>
        </w:tabs>
        <w:rPr>
          <w:rFonts w:hint="eastAsia" w:ascii="宋体" w:hAnsi="宋体" w:eastAsia="宋体" w:cs="宋体"/>
          <w:color w:val="000000"/>
          <w:sz w:val="40"/>
          <w:highlight w:val="none"/>
        </w:rPr>
      </w:pPr>
      <w:r>
        <w:rPr>
          <w:rFonts w:hint="eastAsia" w:ascii="宋体" w:hAnsi="宋体" w:eastAsia="宋体" w:cs="宋体"/>
          <w:color w:val="000000"/>
          <w:sz w:val="40"/>
          <w:highlight w:val="none"/>
        </w:rPr>
      </w:r>
      <w:r/>
    </w:p>
    <w:p>
      <w:pPr>
        <w:pStyle w:val="802"/>
        <w:jc w:val="center"/>
        <w:spacing w:before="0" w:after="0" w:line="360" w:lineRule="auto"/>
        <w:tabs>
          <w:tab w:val="left" w:pos="0" w:leader="none"/>
          <w:tab w:val="left" w:pos="3165" w:leader="none"/>
          <w:tab w:val="center" w:pos="4153" w:leader="none"/>
        </w:tabs>
        <w:rPr>
          <w:rFonts w:hint="eastAsia" w:ascii="宋体" w:hAnsi="宋体" w:eastAsia="宋体" w:cs="宋体"/>
          <w:color w:val="000000"/>
          <w:sz w:val="40"/>
          <w:highlight w:val="none"/>
        </w:rPr>
      </w:pPr>
      <w:r>
        <w:rPr>
          <w:rFonts w:hint="eastAsia" w:ascii="宋体" w:hAnsi="宋体" w:eastAsia="宋体" w:cs="宋体"/>
          <w:color w:val="000000"/>
          <w:sz w:val="40"/>
          <w:highlight w:val="none"/>
        </w:rPr>
      </w:r>
      <w:r/>
    </w:p>
    <w:p>
      <w:pPr>
        <w:pStyle w:val="802"/>
        <w:jc w:val="center"/>
        <w:spacing w:before="0" w:after="0" w:line="360" w:lineRule="auto"/>
        <w:tabs>
          <w:tab w:val="left" w:pos="0" w:leader="none"/>
          <w:tab w:val="left" w:pos="3165" w:leader="none"/>
          <w:tab w:val="center" w:pos="4153" w:leader="none"/>
        </w:tabs>
        <w:rPr>
          <w:rFonts w:hint="eastAsia" w:ascii="宋体" w:hAnsi="宋体" w:eastAsia="宋体" w:cs="宋体"/>
          <w:color w:val="000000"/>
          <w:sz w:val="40"/>
          <w:highlight w:val="none"/>
        </w:rPr>
      </w:pPr>
      <w:r>
        <w:rPr>
          <w:rFonts w:hint="eastAsia" w:ascii="宋体" w:hAnsi="宋体" w:eastAsia="宋体" w:cs="宋体"/>
          <w:color w:val="000000"/>
          <w:sz w:val="40"/>
          <w:highlight w:val="none"/>
        </w:rPr>
      </w:r>
      <w:r/>
    </w:p>
    <w:p>
      <w:pPr>
        <w:pStyle w:val="802"/>
        <w:jc w:val="center"/>
        <w:spacing w:before="0" w:after="0" w:line="360" w:lineRule="auto"/>
        <w:tabs>
          <w:tab w:val="left" w:pos="0" w:leader="none"/>
          <w:tab w:val="left" w:pos="3165" w:leader="none"/>
          <w:tab w:val="center" w:pos="4153" w:leader="none"/>
        </w:tabs>
        <w:rPr>
          <w:rFonts w:hint="eastAsia" w:ascii="宋体" w:hAnsi="宋体" w:eastAsia="宋体" w:cs="宋体"/>
          <w:color w:val="000000"/>
          <w:sz w:val="40"/>
          <w:highlight w:val="none"/>
        </w:rPr>
        <w:sectPr>
          <w:footnotePr/>
          <w:endnotePr/>
          <w:type w:val="nextPage"/>
          <w:pgSz w:w="11906" w:h="16838" w:orient="portrait"/>
          <w:pgMar w:top="1417" w:right="1417" w:bottom="1417" w:left="1417" w:header="851" w:footer="992" w:gutter="0"/>
          <w:cols w:num="1" w:sep="0" w:space="1701" w:equalWidth="1"/>
          <w:docGrid w:linePitch="360"/>
        </w:sectPr>
      </w:pPr>
      <w:r/>
      <w:bookmarkStart w:id="169" w:name="_Toc211090867"/>
      <w:r>
        <w:rPr>
          <w:rFonts w:hint="eastAsia" w:ascii="宋体" w:hAnsi="宋体" w:eastAsia="宋体" w:cs="宋体"/>
          <w:color w:val="000000"/>
          <w:sz w:val="40"/>
          <w:highlight w:val="none"/>
        </w:rPr>
        <w:t xml:space="preserve">第六章  图纸</w:t>
      </w:r>
      <w:bookmarkEnd w:id="168"/>
      <w:r>
        <w:rPr>
          <w:rFonts w:hint="eastAsia" w:ascii="宋体" w:hAnsi="宋体" w:eastAsia="宋体" w:cs="宋体"/>
          <w:color w:val="000000"/>
          <w:sz w:val="40"/>
          <w:highlight w:val="none"/>
        </w:rPr>
        <w:t xml:space="preserve">（另册）</w:t>
      </w:r>
      <w:bookmarkEnd w:id="169"/>
      <w:r>
        <w:rPr>
          <w:rFonts w:hint="eastAsia" w:ascii="宋体" w:hAnsi="宋体" w:eastAsia="宋体" w:cs="宋体"/>
          <w:color w:val="000000"/>
          <w:sz w:val="40"/>
          <w:highlight w:val="none"/>
        </w:rPr>
      </w:r>
      <w:r/>
    </w:p>
    <w:p>
      <w:pPr>
        <w:pStyle w:val="802"/>
        <w:jc w:val="center"/>
        <w:spacing w:before="0" w:after="0" w:line="360" w:lineRule="auto"/>
        <w:tabs>
          <w:tab w:val="left" w:pos="0" w:leader="none"/>
          <w:tab w:val="left" w:pos="3165" w:leader="none"/>
          <w:tab w:val="center" w:pos="4153" w:leader="none"/>
        </w:tabs>
        <w:rPr>
          <w:rFonts w:hint="eastAsia" w:ascii="宋体" w:hAnsi="宋体" w:eastAsia="宋体" w:cs="宋体"/>
          <w:color w:val="000000"/>
          <w:sz w:val="40"/>
          <w:highlight w:val="none"/>
        </w:rPr>
      </w:pPr>
      <w:r/>
      <w:bookmarkStart w:id="170" w:name="_Toc211090868"/>
      <w:r/>
      <w:bookmarkStart w:id="171" w:name="_Toc406752734"/>
      <w:r>
        <w:rPr>
          <w:rFonts w:hint="eastAsia" w:ascii="宋体" w:hAnsi="宋体" w:eastAsia="宋体" w:cs="宋体"/>
          <w:color w:val="000000"/>
          <w:sz w:val="40"/>
          <w:highlight w:val="none"/>
        </w:rPr>
        <w:t xml:space="preserve">第七章  技术标准和要求</w:t>
      </w:r>
      <w:bookmarkEnd w:id="170"/>
      <w:r/>
      <w:bookmarkEnd w:id="171"/>
      <w:r>
        <w:rPr>
          <w:rFonts w:hint="eastAsia" w:ascii="宋体" w:hAnsi="宋体" w:eastAsia="宋体" w:cs="宋体"/>
          <w:color w:val="000000"/>
          <w:sz w:val="40"/>
          <w:highlight w:val="none"/>
        </w:rPr>
      </w:r>
      <w:r/>
    </w:p>
    <w:p>
      <w:pPr>
        <w:pStyle w:val="801"/>
        <w:ind w:firstLine="482"/>
        <w:keepLines w:val="0"/>
        <w:keepNext w:val="0"/>
        <w:pageBreakBefore w:val="0"/>
        <w:widowControl w:val="off"/>
        <w:rPr>
          <w:rFonts w:hint="eastAsia" w:ascii="宋体" w:hAnsi="宋体" w:eastAsia="宋体" w:cs="宋体"/>
          <w:b/>
          <w:bCs/>
          <w:color w:val="000000"/>
          <w:sz w:val="24"/>
          <w:highlight w:val="none"/>
        </w:rPr>
      </w:pPr>
      <w:r/>
      <w:bookmarkStart w:id="172" w:name="_Toc406752742"/>
      <w:r>
        <w:rPr>
          <w:rFonts w:hint="eastAsia" w:ascii="宋体" w:hAnsi="宋体" w:eastAsia="宋体" w:cs="宋体"/>
          <w:b/>
          <w:bCs/>
          <w:color w:val="000000"/>
          <w:sz w:val="24"/>
          <w:highlight w:val="none"/>
        </w:rPr>
        <w:t xml:space="preserve">一、见水运工程标准施工招标文件及本项目施工图设计的设计说明。</w:t>
      </w:r>
      <w:bookmarkEnd w:id="172"/>
      <w:r>
        <w:rPr>
          <w:rFonts w:hint="eastAsia" w:ascii="宋体" w:hAnsi="宋体" w:eastAsia="宋体" w:cs="宋体"/>
          <w:b/>
          <w:bCs/>
          <w:color w:val="000000"/>
          <w:sz w:val="24"/>
          <w:highlight w:val="none"/>
        </w:rPr>
      </w:r>
      <w:r/>
    </w:p>
    <w:p>
      <w:pPr>
        <w:pStyle w:val="801"/>
        <w:ind w:firstLine="482"/>
        <w:keepLines w:val="0"/>
        <w:keepNext w:val="0"/>
        <w:pageBreakBefore w:val="0"/>
        <w:widowControl w:val="off"/>
        <w:rPr>
          <w:rFonts w:hint="eastAsia" w:ascii="宋体" w:hAnsi="宋体" w:eastAsia="宋体" w:cs="宋体"/>
          <w:b/>
          <w:bCs/>
          <w:color w:val="000000"/>
          <w:sz w:val="24"/>
          <w:highlight w:val="none"/>
          <w:lang w:bidi="zh-CN"/>
        </w:rPr>
      </w:pPr>
      <w:r>
        <w:rPr>
          <w:rFonts w:hint="eastAsia" w:ascii="宋体" w:hAnsi="宋体" w:eastAsia="宋体" w:cs="宋体"/>
          <w:b/>
          <w:bCs/>
          <w:color w:val="000000"/>
          <w:sz w:val="24"/>
          <w:highlight w:val="none"/>
        </w:rPr>
        <w:t xml:space="preserve">二、</w:t>
      </w:r>
      <w:r>
        <w:rPr>
          <w:rFonts w:hint="eastAsia" w:ascii="宋体" w:hAnsi="宋体" w:eastAsia="宋体" w:cs="宋体"/>
          <w:b/>
          <w:bCs/>
          <w:color w:val="000000"/>
          <w:sz w:val="24"/>
          <w:highlight w:val="none"/>
          <w:lang w:bidi="zh-CN"/>
        </w:rPr>
        <w:t xml:space="preserve">工程量清单编制说明及投标报价要求</w:t>
      </w:r>
      <w:r>
        <w:rPr>
          <w:rFonts w:hint="eastAsia" w:ascii="宋体" w:hAnsi="宋体" w:eastAsia="宋体" w:cs="宋体"/>
          <w:b/>
          <w:bCs/>
          <w:color w:val="000000"/>
          <w:sz w:val="24"/>
          <w:highlight w:val="none"/>
          <w:lang w:bidi="zh-CN"/>
        </w:rPr>
      </w:r>
      <w:r/>
    </w:p>
    <w:p>
      <w:pPr>
        <w:pStyle w:val="801"/>
        <w:ind w:firstLine="480"/>
        <w:keepLines w:val="0"/>
        <w:keepNext w:val="0"/>
        <w:pageBreakBefore w:val="0"/>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1、工程量清单“特征描述”，只是招标人对该部分分项工程特征的概述，而非是工程特征的全面描述，投标人计价时必须充分考虑清单项目特征、工作内容、设计图纸及相关国家现行施工验收规范要求。</w:t>
      </w:r>
      <w:r>
        <w:rPr>
          <w:rFonts w:hint="eastAsia" w:ascii="宋体" w:hAnsi="宋体" w:eastAsia="宋体" w:cs="宋体"/>
          <w:color w:val="000000"/>
          <w:sz w:val="24"/>
          <w:highlight w:val="none"/>
        </w:rPr>
      </w:r>
      <w:r/>
    </w:p>
    <w:p>
      <w:pPr>
        <w:pStyle w:val="801"/>
        <w:ind w:firstLine="480"/>
        <w:keepLines w:val="0"/>
        <w:keepNext w:val="0"/>
        <w:pageBreakBefore w:val="0"/>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如若涉及单项施工措施费用工程量清单没有单独立项的应包含在清单综合单价中，投标人应综合考虑，结算不因此增加额外费用。如果投标人勘察现场、研究设计图纸认为工程量清单单项措施项目不能满足项目施工需要时，不得改变工程量清单单项措施费用项目，需要增加的单项措施费用请在投标报价让利时统筹考虑，结算时不因此增加额外费用。</w:t>
      </w:r>
      <w:r>
        <w:rPr>
          <w:rFonts w:hint="eastAsia" w:ascii="宋体" w:hAnsi="宋体" w:eastAsia="宋体" w:cs="宋体"/>
          <w:color w:val="000000"/>
          <w:sz w:val="24"/>
          <w:highlight w:val="none"/>
        </w:rPr>
      </w:r>
      <w:r/>
    </w:p>
    <w:p>
      <w:pPr>
        <w:pStyle w:val="801"/>
        <w:ind w:firstLine="480"/>
        <w:keepLines w:val="0"/>
        <w:keepNext w:val="0"/>
        <w:pageBreakBefore w:val="0"/>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3、工程量清单中项目涉及到未明确施工做法的内容，由投标人自行确定施工方案，施工过程中施工方案须得到发包方认可后方可作为施工依据，竣工结算时该部分费用不调整。</w:t>
      </w:r>
      <w:r>
        <w:rPr>
          <w:rFonts w:hint="eastAsia" w:ascii="宋体" w:hAnsi="宋体" w:eastAsia="宋体" w:cs="宋体"/>
          <w:color w:val="000000"/>
          <w:sz w:val="24"/>
          <w:highlight w:val="none"/>
        </w:rPr>
      </w:r>
      <w:r/>
    </w:p>
    <w:p>
      <w:pPr>
        <w:pStyle w:val="801"/>
        <w:ind w:firstLine="480"/>
        <w:keepLines w:val="0"/>
        <w:keepNext w:val="0"/>
        <w:pageBreakBefore w:val="0"/>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4、投标报价文件税费应按照一般纳税人增值税率9%计算，实际结算开票非9%增值税率发票时，在工程竣工结算中进行调整，由审计单位审定。</w:t>
      </w:r>
      <w:r>
        <w:rPr>
          <w:rFonts w:hint="eastAsia" w:ascii="宋体" w:hAnsi="宋体" w:eastAsia="宋体" w:cs="宋体"/>
          <w:color w:val="000000"/>
          <w:sz w:val="24"/>
          <w:highlight w:val="none"/>
        </w:rPr>
      </w:r>
      <w:r/>
    </w:p>
    <w:p>
      <w:pPr>
        <w:pStyle w:val="801"/>
        <w:ind w:firstLine="482"/>
        <w:keepLines w:val="0"/>
        <w:keepNext w:val="0"/>
        <w:pageBreakBefore w:val="0"/>
        <w:widowControl w:val="off"/>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5、投标人除按照招标文件全费用工程量清单投标报价单报价外，还需提供全费用工程量清单投标报价单分析表，提供的全费用工程量清单投标报价单分析表综合单价、总价应与全费用工程量清单投标报价单综合单价、总价一致，未提供的或不一致的做无效标处理</w:t>
      </w:r>
      <w:r>
        <w:rPr>
          <w:rFonts w:hint="eastAsia" w:ascii="宋体" w:hAnsi="宋体" w:eastAsia="宋体" w:cs="宋体"/>
          <w:b/>
          <w:bCs/>
          <w:color w:val="000000"/>
          <w:sz w:val="24"/>
          <w:highlight w:val="none"/>
        </w:rPr>
      </w:r>
      <w:r/>
    </w:p>
    <w:p>
      <w:pPr>
        <w:pStyle w:val="801"/>
        <w:ind w:firstLine="480"/>
        <w:keepLines w:val="0"/>
        <w:keepNext w:val="0"/>
        <w:pageBreakBefore w:val="0"/>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6、相关设备产品</w:t>
      </w:r>
      <w:r>
        <w:rPr>
          <w:rFonts w:hint="eastAsia" w:ascii="宋体" w:hAnsi="宋体" w:eastAsia="宋体" w:cs="宋体"/>
          <w:color w:val="000000"/>
          <w:sz w:val="24"/>
          <w:highlight w:val="none"/>
          <w:lang w:val="en-US" w:eastAsia="zh-CN"/>
        </w:rPr>
        <w:t xml:space="preserve">技术及</w:t>
      </w:r>
      <w:r>
        <w:rPr>
          <w:rFonts w:hint="eastAsia" w:ascii="宋体" w:hAnsi="宋体" w:eastAsia="宋体" w:cs="宋体"/>
          <w:color w:val="000000"/>
          <w:sz w:val="24"/>
          <w:highlight w:val="none"/>
        </w:rPr>
        <w:t xml:space="preserve">品牌要求：投标人投标前要认真研究设计图纸的相关设备参数等要求，充分进行市场调研后报价，确保投标报价中标后能够采购到质量满足设计图纸参数等要求、维修率低的设备产品。实施中采购前承包人应提供三家及以上品牌产品资料，经招标人、设计单位审核确认后采购；当承包人提供的产品资料经招标人、设计单位多次审核不能通过的，招标人有权推荐三家及以上符合设计要求的产品供承包人采购，且不调整工程结算造价。</w:t>
      </w:r>
      <w:r>
        <w:rPr>
          <w:rFonts w:hint="eastAsia" w:ascii="宋体" w:hAnsi="宋体" w:eastAsia="宋体" w:cs="宋体"/>
          <w:color w:val="000000"/>
          <w:sz w:val="24"/>
          <w:highlight w:val="none"/>
        </w:rPr>
      </w:r>
      <w:r/>
    </w:p>
    <w:p>
      <w:pPr>
        <w:pStyle w:val="801"/>
        <w:ind w:firstLine="480"/>
        <w:keepLines w:val="0"/>
        <w:keepNext w:val="0"/>
        <w:pageBreakBefore w:val="0"/>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投标人在进行清单报价编制时要勘察现场，充分考虑现场实际情况，施工过程中投标人需采取措施保护现场及周边相关物品、设施等，因投标人的不规范操作、误操作等原因造成相关设施设备损坏、设备停用等后果的，由投标人自费修复，恢复正常使用。以上费用均不单列，由投标人在投标工程量清单报价中综合考虑。</w:t>
      </w:r>
      <w:r>
        <w:rPr>
          <w:rFonts w:hint="eastAsia" w:ascii="宋体" w:hAnsi="宋体" w:eastAsia="宋体" w:cs="宋体"/>
          <w:color w:val="000000"/>
          <w:sz w:val="24"/>
          <w:highlight w:val="none"/>
        </w:rPr>
      </w:r>
      <w:r/>
    </w:p>
    <w:p>
      <w:pPr>
        <w:pStyle w:val="801"/>
        <w:ind w:firstLine="480"/>
        <w:keepLines w:val="0"/>
        <w:keepNext w:val="0"/>
        <w:pageBreakBefore w:val="0"/>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8、本项目施工中不得影响所在地单位正常运行秩序，投标人在投标报价中需充分考虑相关临时隔离等各项措施费用，以上费用均不单列，由投标人在投标工程量清单报价中综合考虑。</w:t>
      </w:r>
      <w:r>
        <w:rPr>
          <w:rFonts w:hint="eastAsia" w:ascii="宋体" w:hAnsi="宋体" w:eastAsia="宋体" w:cs="宋体"/>
          <w:color w:val="000000"/>
          <w:sz w:val="24"/>
          <w:highlight w:val="none"/>
        </w:rPr>
      </w:r>
      <w:r/>
    </w:p>
    <w:p>
      <w:pPr>
        <w:pStyle w:val="801"/>
        <w:ind w:firstLine="480"/>
        <w:keepLines w:val="0"/>
        <w:keepNext w:val="0"/>
        <w:pageBreakBefore w:val="0"/>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9、投标人应自行踏勘现场，以充分了解项目位置、交通状况以及工作范围等任何足以影响其报价的情况。任何忽视或误解造成承包人自身损失的由承包人自行承担，导致招标人在项目实施过程中蒙受的损失，将由投标人进行赔偿。</w:t>
      </w:r>
      <w:r>
        <w:rPr>
          <w:rFonts w:hint="eastAsia" w:ascii="宋体" w:hAnsi="宋体" w:eastAsia="宋体" w:cs="宋体"/>
          <w:color w:val="000000"/>
          <w:sz w:val="24"/>
          <w:highlight w:val="none"/>
        </w:rPr>
      </w:r>
      <w:r/>
    </w:p>
    <w:p>
      <w:pPr>
        <w:pStyle w:val="801"/>
        <w:ind w:firstLine="480"/>
        <w:keepLines w:val="0"/>
        <w:keepNext w:val="0"/>
        <w:pageBreakBefore w:val="0"/>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10、投标人需积极主动地配合招标人进行相关验收，确保通过验收，若出现验收不合格的情况投标人需要返工直至验收合格，由此导致的返工费等相关其他费用，由投标人自行承担，并且招标人有权从工程款中扣除。</w:t>
      </w:r>
      <w:r>
        <w:rPr>
          <w:rFonts w:hint="eastAsia" w:ascii="宋体" w:hAnsi="宋体" w:eastAsia="宋体" w:cs="宋体"/>
          <w:color w:val="000000"/>
          <w:sz w:val="24"/>
          <w:highlight w:val="none"/>
        </w:rPr>
      </w:r>
      <w:r/>
    </w:p>
    <w:p>
      <w:pPr>
        <w:pStyle w:val="801"/>
        <w:ind w:firstLine="480"/>
        <w:keepLines w:val="0"/>
        <w:keepNext w:val="0"/>
        <w:pageBreakBefore w:val="0"/>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11、施工过程中产生的垃圾及时清运，费用由投标人承担。</w:t>
      </w:r>
      <w:r>
        <w:rPr>
          <w:rFonts w:hint="eastAsia" w:ascii="宋体" w:hAnsi="宋体" w:eastAsia="宋体" w:cs="宋体"/>
          <w:color w:val="000000"/>
          <w:sz w:val="24"/>
          <w:highlight w:val="none"/>
        </w:rPr>
      </w:r>
      <w:r/>
    </w:p>
    <w:p>
      <w:pPr>
        <w:pStyle w:val="801"/>
        <w:ind w:firstLine="480"/>
        <w:keepLines w:val="0"/>
        <w:keepNext w:val="0"/>
        <w:pageBreakBefore w:val="0"/>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12、投标清单单价和总价均应包括但不限于所有设备、材料、管理费、利润、税金、包装费、运杂费、保险费、卸力费、安装调试费、资料费、保修期内维修费用及服务费等直至完全交付招标人使用、缺陷期维修、质保期服务及工程量清单中质保期后服务等所有费用。</w:t>
      </w:r>
      <w:r>
        <w:rPr>
          <w:rFonts w:hint="eastAsia" w:ascii="宋体" w:hAnsi="宋体" w:eastAsia="宋体" w:cs="宋体"/>
          <w:color w:val="000000"/>
          <w:sz w:val="24"/>
          <w:highlight w:val="none"/>
        </w:rPr>
      </w:r>
      <w:r/>
    </w:p>
    <w:p>
      <w:pPr>
        <w:pStyle w:val="801"/>
        <w:ind w:firstLine="480"/>
        <w:keepLines w:val="0"/>
        <w:keepNext w:val="0"/>
        <w:pageBreakBefore w:val="0"/>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13、本项目承包范围为招标文件、工程量清单、附件范围相关的内容。投标人应根据设计文件内容以及现场踏勘情况，仔细核对工程量清单，核对内容包括清单数量、清单特征、计量单位等，并将疑问在提问截止时间书面提出，如未提出任何疑问，则视为对招标人提供的工程量清单不存在问题，漏报项视为价格已分摊到其他清单项中，投标人自行承担工程量清单数量偏差、漏项及清单错误的风险，竣工结算不予调整。</w:t>
      </w:r>
      <w:r>
        <w:rPr>
          <w:rFonts w:hint="eastAsia" w:ascii="宋体" w:hAnsi="宋体" w:eastAsia="宋体" w:cs="宋体"/>
          <w:color w:val="000000"/>
          <w:sz w:val="24"/>
          <w:highlight w:val="none"/>
        </w:rPr>
      </w:r>
      <w:r/>
    </w:p>
    <w:p>
      <w:pPr>
        <w:pStyle w:val="801"/>
        <w:ind w:firstLine="480"/>
        <w:keepLines w:val="0"/>
        <w:keepNext w:val="0"/>
        <w:pageBreakBefore w:val="0"/>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14、实际施工工程量以现场监管组确认为准。</w:t>
      </w:r>
      <w:r>
        <w:rPr>
          <w:rFonts w:hint="eastAsia" w:ascii="宋体" w:hAnsi="宋体" w:eastAsia="宋体" w:cs="宋体"/>
          <w:color w:val="000000"/>
          <w:sz w:val="24"/>
          <w:highlight w:val="none"/>
        </w:rPr>
      </w:r>
      <w:r/>
    </w:p>
    <w:p>
      <w:pPr>
        <w:pStyle w:val="801"/>
        <w:ind w:right="-4"/>
        <w:jc w:val="center"/>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r>
      <w:r/>
    </w:p>
    <w:p>
      <w:pPr>
        <w:pStyle w:val="801"/>
        <w:spacing w:line="400" w:lineRule="exact"/>
        <w:rPr>
          <w:rFonts w:hint="eastAsia" w:ascii="宋体" w:hAnsi="宋体" w:eastAsia="宋体" w:cs="宋体"/>
          <w:b/>
          <w:bCs/>
          <w:color w:val="000000"/>
          <w:sz w:val="36"/>
          <w:szCs w:val="36"/>
          <w:highlight w:val="none"/>
        </w:rPr>
      </w:pPr>
      <w:r>
        <w:rPr>
          <w:rFonts w:hint="eastAsia" w:ascii="宋体" w:hAnsi="宋体" w:eastAsia="宋体" w:cs="宋体"/>
          <w:b/>
          <w:bCs/>
          <w:color w:val="000000"/>
          <w:sz w:val="36"/>
          <w:szCs w:val="36"/>
          <w:highlight w:val="none"/>
        </w:rPr>
      </w:r>
      <w:r/>
    </w:p>
    <w:p>
      <w:pPr>
        <w:pStyle w:val="801"/>
        <w:spacing w:line="400" w:lineRule="exact"/>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01"/>
        <w:spacing w:line="400" w:lineRule="exact"/>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01"/>
        <w:spacing w:line="400" w:lineRule="exact"/>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02"/>
        <w:spacing w:before="0" w:after="0" w:line="360" w:lineRule="auto"/>
        <w:tabs>
          <w:tab w:val="left" w:pos="0" w:leader="none"/>
          <w:tab w:val="left" w:pos="3165" w:leader="none"/>
          <w:tab w:val="center" w:pos="4153" w:leader="none"/>
        </w:tabs>
        <w:rPr>
          <w:rFonts w:hint="eastAsia" w:ascii="宋体" w:hAnsi="宋体" w:eastAsia="宋体" w:cs="宋体"/>
          <w:color w:val="000000"/>
          <w:sz w:val="32"/>
          <w:szCs w:val="32"/>
          <w:highlight w:val="none"/>
        </w:rPr>
      </w:pPr>
      <w:r/>
      <w:bookmarkStart w:id="173" w:name="_Toc238559215"/>
      <w:r/>
      <w:bookmarkStart w:id="174" w:name="_Toc211090869"/>
      <w:r>
        <w:rPr>
          <w:rFonts w:hint="eastAsia" w:ascii="宋体" w:hAnsi="宋体" w:eastAsia="宋体" w:cs="宋体"/>
          <w:color w:val="000000"/>
          <w:sz w:val="32"/>
          <w:szCs w:val="32"/>
          <w:highlight w:val="none"/>
        </w:rPr>
      </w:r>
      <w:r/>
    </w:p>
    <w:p>
      <w:pPr>
        <w:pStyle w:val="801"/>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801"/>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802"/>
        <w:jc w:val="center"/>
        <w:spacing w:before="0" w:after="0" w:line="360" w:lineRule="auto"/>
        <w:tabs>
          <w:tab w:val="left" w:pos="0" w:leader="none"/>
          <w:tab w:val="left" w:pos="3165" w:leader="none"/>
          <w:tab w:val="center" w:pos="4153" w:leader="none"/>
        </w:tabs>
        <w:rPr>
          <w:rFonts w:hint="eastAsia" w:ascii="宋体" w:hAnsi="宋体" w:eastAsia="宋体" w:cs="宋体"/>
          <w:b w:val="0"/>
          <w:color w:val="000000"/>
          <w:sz w:val="44"/>
          <w:szCs w:val="44"/>
          <w:highlight w:val="none"/>
        </w:rPr>
      </w:pPr>
      <w:r>
        <w:rPr>
          <w:rFonts w:hint="eastAsia" w:ascii="宋体" w:hAnsi="宋体" w:eastAsia="宋体" w:cs="宋体"/>
          <w:color w:val="000000"/>
          <w:sz w:val="32"/>
          <w:szCs w:val="32"/>
          <w:highlight w:val="none"/>
        </w:rPr>
        <w:t xml:space="preserve">第八章 投标文件格式</w:t>
      </w:r>
      <w:bookmarkEnd w:id="173"/>
      <w:r/>
      <w:bookmarkEnd w:id="174"/>
      <w:r>
        <w:rPr>
          <w:rFonts w:hint="eastAsia" w:ascii="宋体" w:hAnsi="宋体" w:eastAsia="宋体" w:cs="宋体"/>
          <w:b w:val="0"/>
          <w:color w:val="000000"/>
          <w:sz w:val="44"/>
          <w:szCs w:val="44"/>
          <w:highlight w:val="none"/>
        </w:rPr>
      </w:r>
      <w:r/>
    </w:p>
    <w:p>
      <w:pPr>
        <w:pStyle w:val="801"/>
        <w:jc w:val="center"/>
        <w:spacing w:line="480" w:lineRule="auto"/>
        <w:rPr>
          <w:rFonts w:hint="eastAsia" w:ascii="宋体" w:hAnsi="宋体" w:eastAsia="宋体" w:cs="宋体"/>
          <w:b/>
          <w:color w:val="000000"/>
          <w:sz w:val="44"/>
          <w:szCs w:val="44"/>
          <w:highlight w:val="none"/>
        </w:rPr>
        <w:outlineLvl w:val="2"/>
      </w:pPr>
      <w:r>
        <w:rPr>
          <w:rFonts w:hint="eastAsia" w:ascii="宋体" w:hAnsi="宋体" w:eastAsia="宋体" w:cs="宋体"/>
          <w:b/>
          <w:color w:val="000000"/>
          <w:sz w:val="44"/>
          <w:szCs w:val="44"/>
          <w:highlight w:val="none"/>
        </w:rPr>
        <w:t xml:space="preserve">封面</w:t>
      </w:r>
      <w:r>
        <w:rPr>
          <w:rFonts w:hint="eastAsia" w:ascii="宋体" w:hAnsi="宋体" w:eastAsia="宋体" w:cs="宋体"/>
          <w:b/>
          <w:color w:val="000000"/>
          <w:sz w:val="44"/>
          <w:szCs w:val="44"/>
          <w:highlight w:val="none"/>
        </w:rPr>
      </w:r>
      <w:r/>
    </w:p>
    <w:p>
      <w:pPr>
        <w:pStyle w:val="801"/>
        <w:jc w:val="center"/>
        <w:spacing w:before="120"/>
        <w:rPr>
          <w:rFonts w:hint="eastAsia" w:ascii="宋体" w:hAnsi="宋体" w:eastAsia="宋体" w:cs="宋体"/>
          <w:b/>
          <w:bCs/>
          <w:color w:val="000000"/>
          <w:spacing w:val="20"/>
          <w:sz w:val="36"/>
          <w:szCs w:val="40"/>
          <w:highlight w:val="none"/>
        </w:rPr>
      </w:pPr>
      <w:r>
        <w:rPr>
          <w:rFonts w:hint="eastAsia" w:ascii="宋体" w:hAnsi="宋体" w:eastAsia="宋体" w:cs="宋体"/>
          <w:b/>
          <w:bCs/>
          <w:color w:val="000000"/>
          <w:spacing w:val="20"/>
          <w:sz w:val="36"/>
          <w:szCs w:val="40"/>
          <w:highlight w:val="none"/>
        </w:rPr>
        <w:t xml:space="preserve">施桥二线船闸下游靠船墩专项养护改造项目</w:t>
      </w:r>
      <w:r>
        <w:rPr>
          <w:rFonts w:hint="eastAsia" w:ascii="宋体" w:hAnsi="宋体" w:eastAsia="宋体" w:cs="宋体"/>
          <w:b/>
          <w:bCs/>
          <w:color w:val="000000"/>
          <w:spacing w:val="20"/>
          <w:sz w:val="36"/>
          <w:szCs w:val="40"/>
          <w:highlight w:val="none"/>
        </w:rPr>
      </w:r>
      <w:r/>
    </w:p>
    <w:p>
      <w:pPr>
        <w:pStyle w:val="801"/>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p>
      <w:pPr>
        <w:pStyle w:val="801"/>
        <w:rPr>
          <w:rFonts w:hint="eastAsia" w:ascii="宋体" w:hAnsi="宋体" w:eastAsia="宋体" w:cs="宋体"/>
          <w:color w:val="000000"/>
          <w:sz w:val="52"/>
          <w:szCs w:val="52"/>
          <w:highlight w:val="none"/>
        </w:rPr>
      </w:pPr>
      <w:r>
        <w:rPr>
          <w:rFonts w:hint="eastAsia" w:ascii="宋体" w:hAnsi="宋体" w:eastAsia="宋体" w:cs="宋体"/>
          <w:color w:val="000000"/>
          <w:sz w:val="52"/>
          <w:szCs w:val="52"/>
          <w:highlight w:val="none"/>
        </w:rPr>
      </w:r>
      <w:r/>
    </w:p>
    <w:p>
      <w:pPr>
        <w:pStyle w:val="801"/>
        <w:jc w:val="center"/>
        <w:rPr>
          <w:rFonts w:hint="eastAsia" w:ascii="宋体" w:hAnsi="宋体" w:eastAsia="宋体" w:cs="宋体"/>
          <w:color w:val="000000"/>
          <w:sz w:val="52"/>
          <w:szCs w:val="52"/>
          <w:highlight w:val="none"/>
        </w:rPr>
      </w:pPr>
      <w:r>
        <w:rPr>
          <w:rFonts w:hint="eastAsia" w:ascii="宋体" w:hAnsi="宋体" w:eastAsia="宋体" w:cs="宋体"/>
          <w:color w:val="000000"/>
          <w:sz w:val="52"/>
          <w:szCs w:val="52"/>
          <w:highlight w:val="none"/>
        </w:rPr>
      </w:r>
      <w:r/>
    </w:p>
    <w:p>
      <w:pPr>
        <w:pStyle w:val="801"/>
        <w:jc w:val="center"/>
        <w:rPr>
          <w:rFonts w:hint="eastAsia" w:ascii="宋体" w:hAnsi="宋体" w:eastAsia="宋体" w:cs="宋体"/>
          <w:color w:val="000000"/>
          <w:sz w:val="52"/>
          <w:szCs w:val="52"/>
          <w:highlight w:val="none"/>
        </w:rPr>
      </w:pPr>
      <w:r>
        <w:rPr>
          <w:rFonts w:hint="eastAsia" w:ascii="宋体" w:hAnsi="宋体" w:eastAsia="宋体" w:cs="宋体"/>
          <w:color w:val="000000"/>
          <w:sz w:val="52"/>
          <w:szCs w:val="52"/>
          <w:highlight w:val="none"/>
        </w:rPr>
      </w:r>
      <w:r/>
    </w:p>
    <w:p>
      <w:pPr>
        <w:pStyle w:val="801"/>
        <w:jc w:val="center"/>
        <w:rPr>
          <w:rFonts w:hint="eastAsia" w:ascii="宋体" w:hAnsi="宋体" w:eastAsia="宋体" w:cs="宋体"/>
          <w:b/>
          <w:color w:val="000000"/>
          <w:sz w:val="72"/>
          <w:szCs w:val="72"/>
          <w:highlight w:val="none"/>
        </w:rPr>
      </w:pPr>
      <w:r>
        <w:rPr>
          <w:rFonts w:hint="eastAsia" w:ascii="宋体" w:hAnsi="宋体" w:eastAsia="宋体" w:cs="宋体"/>
          <w:b/>
          <w:color w:val="000000"/>
          <w:sz w:val="72"/>
          <w:szCs w:val="72"/>
          <w:highlight w:val="none"/>
        </w:rPr>
        <w:t xml:space="preserve">投标文件</w:t>
      </w:r>
      <w:r>
        <w:rPr>
          <w:rFonts w:hint="eastAsia" w:ascii="宋体" w:hAnsi="宋体" w:eastAsia="宋体" w:cs="宋体"/>
          <w:b/>
          <w:color w:val="000000"/>
          <w:sz w:val="72"/>
          <w:szCs w:val="72"/>
          <w:highlight w:val="none"/>
        </w:rPr>
      </w:r>
      <w:r/>
    </w:p>
    <w:p>
      <w:pPr>
        <w:pStyle w:val="801"/>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801"/>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801"/>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801"/>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801"/>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801"/>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801"/>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801"/>
        <w:ind w:firstLine="219"/>
        <w:jc w:val="center"/>
        <w:rPr>
          <w:rFonts w:hint="eastAsia" w:ascii="宋体" w:hAnsi="宋体" w:eastAsia="宋体" w:cs="宋体"/>
          <w:color w:val="000000"/>
          <w:sz w:val="36"/>
          <w:szCs w:val="36"/>
          <w:highlight w:val="none"/>
        </w:rPr>
      </w:pPr>
      <w:r>
        <w:rPr>
          <w:rFonts w:hint="eastAsia" w:ascii="宋体" w:hAnsi="宋体" w:eastAsia="宋体" w:cs="宋体"/>
          <w:color w:val="000000"/>
          <w:sz w:val="36"/>
          <w:szCs w:val="36"/>
          <w:highlight w:val="none"/>
        </w:rPr>
        <w:t xml:space="preserve">投标人：（盖CA电子公章）</w:t>
      </w:r>
      <w:r>
        <w:rPr>
          <w:rFonts w:hint="eastAsia" w:ascii="宋体" w:hAnsi="宋体" w:eastAsia="宋体" w:cs="宋体"/>
          <w:color w:val="000000"/>
          <w:sz w:val="36"/>
          <w:szCs w:val="36"/>
          <w:highlight w:val="none"/>
        </w:rPr>
      </w:r>
      <w:r/>
    </w:p>
    <w:p>
      <w:pPr>
        <w:pStyle w:val="801"/>
        <w:jc w:val="center"/>
        <w:rPr>
          <w:rFonts w:hint="eastAsia" w:ascii="宋体" w:hAnsi="宋体" w:eastAsia="宋体" w:cs="宋体"/>
          <w:color w:val="000000"/>
          <w:sz w:val="36"/>
          <w:szCs w:val="36"/>
          <w:highlight w:val="none"/>
          <w:u w:val="single"/>
        </w:rPr>
      </w:pPr>
      <w:r>
        <w:rPr>
          <w:rFonts w:hint="eastAsia" w:ascii="宋体" w:hAnsi="宋体" w:eastAsia="宋体" w:cs="宋体"/>
          <w:color w:val="000000"/>
          <w:sz w:val="36"/>
          <w:szCs w:val="36"/>
          <w:highlight w:val="none"/>
          <w:u w:val="single"/>
        </w:rPr>
      </w:r>
      <w:r/>
    </w:p>
    <w:p>
      <w:pPr>
        <w:pStyle w:val="801"/>
        <w:jc w:val="center"/>
        <w:rPr>
          <w:rFonts w:hint="eastAsia" w:ascii="宋体" w:hAnsi="宋体" w:eastAsia="宋体" w:cs="宋体"/>
          <w:color w:val="000000"/>
          <w:sz w:val="36"/>
          <w:szCs w:val="36"/>
          <w:highlight w:val="none"/>
        </w:rPr>
      </w:pPr>
      <w:r>
        <w:rPr>
          <w:rFonts w:hint="eastAsia" w:ascii="宋体" w:hAnsi="宋体" w:eastAsia="宋体" w:cs="宋体"/>
          <w:color w:val="000000"/>
          <w:sz w:val="36"/>
          <w:szCs w:val="36"/>
          <w:highlight w:val="none"/>
        </w:rPr>
        <w:t xml:space="preserve">年  月  日</w:t>
      </w:r>
      <w:r>
        <w:rPr>
          <w:rFonts w:hint="eastAsia" w:ascii="宋体" w:hAnsi="宋体" w:eastAsia="宋体" w:cs="宋体"/>
          <w:color w:val="000000"/>
          <w:sz w:val="36"/>
          <w:szCs w:val="36"/>
          <w:highlight w:val="none"/>
        </w:rPr>
      </w:r>
      <w:r/>
    </w:p>
    <w:p>
      <w:pPr>
        <w:pStyle w:val="801"/>
        <w:jc w:val="left"/>
        <w:widowControl/>
        <w:rPr>
          <w:rFonts w:hint="eastAsia" w:ascii="宋体" w:hAnsi="宋体" w:eastAsia="宋体" w:cs="宋体"/>
          <w:color w:val="000000"/>
          <w:highlight w:val="none"/>
        </w:rPr>
        <w:sectPr>
          <w:headerReference w:type="default" r:id="rId9"/>
          <w:footnotePr/>
          <w:endnotePr/>
          <w:type w:val="nextPage"/>
          <w:pgSz w:w="11906" w:h="16838" w:orient="portrait"/>
          <w:pgMar w:top="1417" w:right="1417" w:bottom="1417" w:left="1417" w:header="851" w:footer="992" w:gutter="0"/>
          <w:cols w:num="1" w:sep="0" w:space="1701" w:equalWidth="1"/>
          <w:docGrid w:linePitch="360"/>
        </w:sectPr>
      </w:pPr>
      <w:r>
        <w:rPr>
          <w:rFonts w:hint="eastAsia" w:ascii="宋体" w:hAnsi="宋体" w:eastAsia="宋体" w:cs="宋体"/>
          <w:color w:val="000000"/>
          <w:highlight w:val="none"/>
        </w:rPr>
      </w:r>
      <w:r/>
    </w:p>
    <w:p>
      <w:pPr>
        <w:pStyle w:val="801"/>
        <w:jc w:val="center"/>
        <w:spacing w:line="480" w:lineRule="auto"/>
        <w:rPr>
          <w:rFonts w:hint="eastAsia" w:ascii="宋体" w:hAnsi="宋体" w:eastAsia="宋体" w:cs="宋体"/>
          <w:b/>
          <w:color w:val="000000"/>
          <w:sz w:val="32"/>
          <w:szCs w:val="32"/>
          <w:highlight w:val="none"/>
        </w:rPr>
        <w:outlineLvl w:val="2"/>
      </w:pPr>
      <w:r/>
      <w:bookmarkStart w:id="175" w:name="_Toc432244526"/>
      <w:r/>
      <w:bookmarkStart w:id="176" w:name="_Toc503901977"/>
      <w:r/>
      <w:bookmarkStart w:id="177" w:name="_Toc211090870"/>
      <w:r/>
      <w:bookmarkStart w:id="178" w:name="_Toc503307474"/>
      <w:r>
        <w:rPr>
          <w:rFonts w:hint="eastAsia" w:ascii="宋体" w:hAnsi="宋体" w:eastAsia="宋体" w:cs="宋体"/>
          <w:b/>
          <w:color w:val="000000"/>
          <w:sz w:val="32"/>
          <w:szCs w:val="32"/>
          <w:highlight w:val="none"/>
        </w:rPr>
        <w:t xml:space="preserve">目  录</w:t>
      </w:r>
      <w:bookmarkEnd w:id="175"/>
      <w:r/>
      <w:bookmarkEnd w:id="176"/>
      <w:r/>
      <w:bookmarkEnd w:id="177"/>
      <w:r/>
      <w:bookmarkEnd w:id="178"/>
      <w:r>
        <w:rPr>
          <w:rFonts w:hint="eastAsia" w:ascii="宋体" w:hAnsi="宋体" w:eastAsia="宋体" w:cs="宋体"/>
          <w:b/>
          <w:color w:val="000000"/>
          <w:sz w:val="32"/>
          <w:szCs w:val="32"/>
          <w:highlight w:val="none"/>
        </w:rPr>
      </w:r>
      <w:r/>
    </w:p>
    <w:p>
      <w:pPr>
        <w:pStyle w:val="801"/>
        <w:jc w:val="center"/>
        <w:spacing w:line="400" w:lineRule="exact"/>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r>
      <w:r/>
    </w:p>
    <w:p>
      <w:pPr>
        <w:pStyle w:val="801"/>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一、投标函</w:t>
      </w:r>
      <w:r>
        <w:rPr>
          <w:rFonts w:hint="eastAsia" w:ascii="宋体" w:hAnsi="宋体" w:eastAsia="宋体" w:cs="宋体"/>
          <w:color w:val="000000"/>
          <w:sz w:val="24"/>
          <w:highlight w:val="none"/>
        </w:rPr>
      </w:r>
      <w:r/>
    </w:p>
    <w:p>
      <w:pPr>
        <w:pStyle w:val="801"/>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二、法定代表人身份证明及授权委托书</w:t>
      </w:r>
      <w:r>
        <w:rPr>
          <w:rFonts w:hint="eastAsia" w:ascii="宋体" w:hAnsi="宋体" w:eastAsia="宋体" w:cs="宋体"/>
          <w:color w:val="000000"/>
          <w:sz w:val="24"/>
          <w:highlight w:val="none"/>
        </w:rPr>
      </w:r>
      <w:r/>
    </w:p>
    <w:p>
      <w:pPr>
        <w:pStyle w:val="801"/>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三、已标价工程量清单</w:t>
      </w:r>
      <w:r>
        <w:rPr>
          <w:rFonts w:hint="eastAsia" w:ascii="宋体" w:hAnsi="宋体" w:eastAsia="宋体" w:cs="宋体"/>
          <w:color w:val="000000"/>
          <w:sz w:val="24"/>
          <w:highlight w:val="none"/>
        </w:rPr>
      </w:r>
      <w:r/>
    </w:p>
    <w:p>
      <w:pPr>
        <w:pStyle w:val="801"/>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四、施工组织设计</w:t>
      </w:r>
      <w:r>
        <w:rPr>
          <w:rFonts w:hint="eastAsia" w:ascii="宋体" w:hAnsi="宋体" w:eastAsia="宋体" w:cs="宋体"/>
          <w:color w:val="000000"/>
          <w:sz w:val="24"/>
          <w:highlight w:val="none"/>
        </w:rPr>
      </w:r>
      <w:r/>
    </w:p>
    <w:p>
      <w:pPr>
        <w:pStyle w:val="801"/>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五、资格审查资料</w:t>
      </w:r>
      <w:r>
        <w:rPr>
          <w:rFonts w:hint="eastAsia" w:ascii="宋体" w:hAnsi="宋体" w:eastAsia="宋体" w:cs="宋体"/>
          <w:color w:val="000000"/>
          <w:sz w:val="24"/>
          <w:highlight w:val="none"/>
        </w:rPr>
      </w:r>
      <w:r/>
    </w:p>
    <w:p>
      <w:pPr>
        <w:pStyle w:val="801"/>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六、附件</w:t>
      </w:r>
      <w:r>
        <w:rPr>
          <w:rFonts w:hint="eastAsia" w:ascii="宋体" w:hAnsi="宋体" w:eastAsia="宋体" w:cs="宋体"/>
          <w:color w:val="000000"/>
          <w:sz w:val="24"/>
          <w:highlight w:val="none"/>
        </w:rPr>
      </w:r>
      <w:r/>
    </w:p>
    <w:p>
      <w:pPr>
        <w:pStyle w:val="801"/>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七、其他材料</w:t>
      </w:r>
      <w:r>
        <w:rPr>
          <w:rFonts w:hint="eastAsia" w:ascii="宋体" w:hAnsi="宋体" w:eastAsia="宋体" w:cs="宋体"/>
          <w:color w:val="000000"/>
          <w:sz w:val="24"/>
          <w:highlight w:val="none"/>
        </w:rPr>
      </w:r>
      <w:r/>
    </w:p>
    <w:p>
      <w:pPr>
        <w:pStyle w:val="801"/>
        <w:ind w:firstLine="300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01"/>
        <w:jc w:val="left"/>
        <w:widowControl/>
        <w:rPr>
          <w:rFonts w:hint="eastAsia" w:ascii="宋体" w:hAnsi="宋体" w:eastAsia="宋体" w:cs="宋体"/>
          <w:color w:val="000000"/>
          <w:sz w:val="24"/>
          <w:highlight w:val="none"/>
        </w:rPr>
        <w:sectPr>
          <w:footnotePr/>
          <w:endnotePr/>
          <w:type w:val="nextPage"/>
          <w:pgSz w:w="11906" w:h="16838" w:orient="portrait"/>
          <w:pgMar w:top="1417" w:right="1417" w:bottom="1417" w:left="1417" w:header="851" w:footer="992" w:gutter="0"/>
          <w:cols w:num="1" w:sep="0" w:space="1701" w:equalWidth="1"/>
          <w:docGrid w:linePitch="360"/>
        </w:sectPr>
      </w:pPr>
      <w:r>
        <w:rPr>
          <w:rFonts w:hint="eastAsia" w:ascii="宋体" w:hAnsi="宋体" w:eastAsia="宋体" w:cs="宋体"/>
          <w:color w:val="000000"/>
          <w:sz w:val="24"/>
          <w:highlight w:val="none"/>
        </w:rPr>
      </w:r>
      <w:r/>
    </w:p>
    <w:p>
      <w:pPr>
        <w:pStyle w:val="801"/>
        <w:jc w:val="center"/>
        <w:spacing w:line="400" w:lineRule="exact"/>
        <w:rPr>
          <w:rFonts w:hint="eastAsia" w:ascii="宋体" w:hAnsi="宋体" w:eastAsia="宋体" w:cs="宋体"/>
          <w:b/>
          <w:color w:val="000000"/>
          <w:sz w:val="32"/>
          <w:szCs w:val="32"/>
          <w:highlight w:val="none"/>
        </w:rPr>
        <w:outlineLvl w:val="2"/>
      </w:pPr>
      <w:r/>
      <w:bookmarkStart w:id="179" w:name="_Toc211090871"/>
      <w:r/>
      <w:bookmarkStart w:id="180" w:name="_Toc503307475"/>
      <w:r/>
      <w:bookmarkStart w:id="181" w:name="_Toc432244527"/>
      <w:r/>
      <w:bookmarkStart w:id="182" w:name="_Toc503901978"/>
      <w:r>
        <w:rPr>
          <w:rFonts w:hint="eastAsia" w:ascii="宋体" w:hAnsi="宋体" w:eastAsia="宋体" w:cs="宋体"/>
          <w:b/>
          <w:color w:val="000000"/>
          <w:sz w:val="32"/>
          <w:szCs w:val="32"/>
          <w:highlight w:val="none"/>
        </w:rPr>
        <w:t xml:space="preserve">一、投标函</w:t>
      </w:r>
      <w:bookmarkEnd w:id="179"/>
      <w:r/>
      <w:bookmarkEnd w:id="180"/>
      <w:r/>
      <w:bookmarkEnd w:id="181"/>
      <w:r/>
      <w:bookmarkEnd w:id="182"/>
      <w:r>
        <w:rPr>
          <w:rFonts w:hint="eastAsia" w:ascii="宋体" w:hAnsi="宋体" w:eastAsia="宋体" w:cs="宋体"/>
          <w:b/>
          <w:color w:val="000000"/>
          <w:sz w:val="32"/>
          <w:szCs w:val="32"/>
          <w:highlight w:val="none"/>
        </w:rPr>
      </w:r>
      <w:r/>
    </w:p>
    <w:p>
      <w:pPr>
        <w:pStyle w:val="801"/>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r>
      <w:r/>
    </w:p>
    <w:p>
      <w:pPr>
        <w:pStyle w:val="801"/>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致苏北航务管理处扬州航务中心：</w:t>
      </w:r>
      <w:r>
        <w:rPr>
          <w:rFonts w:hint="eastAsia" w:ascii="宋体" w:hAnsi="宋体" w:eastAsia="宋体" w:cs="宋体"/>
          <w:color w:val="000000"/>
          <w:sz w:val="24"/>
          <w:highlight w:val="none"/>
          <w:lang w:val="zh-CN"/>
        </w:rPr>
      </w:r>
      <w:r/>
    </w:p>
    <w:p>
      <w:pPr>
        <w:pStyle w:val="801"/>
        <w:ind w:firstLine="480"/>
        <w:rPr>
          <w:rFonts w:hint="eastAsia" w:ascii="宋体" w:hAnsi="宋体" w:eastAsia="宋体" w:cs="宋体"/>
          <w:color w:val="000000"/>
          <w:sz w:val="24"/>
          <w:szCs w:val="32"/>
          <w:highlight w:val="none"/>
        </w:rPr>
      </w:pPr>
      <w:r>
        <w:rPr>
          <w:rFonts w:hint="eastAsia" w:ascii="宋体" w:hAnsi="宋体" w:eastAsia="宋体" w:cs="宋体"/>
          <w:color w:val="000000"/>
          <w:sz w:val="24"/>
          <w:highlight w:val="none"/>
          <w:lang w:val="zh-CN"/>
        </w:rPr>
        <w:t xml:space="preserve">根据贵方</w:t>
      </w:r>
      <w:r>
        <w:rPr>
          <w:rFonts w:hint="eastAsia" w:ascii="宋体" w:hAnsi="宋体" w:eastAsia="宋体" w:cs="宋体"/>
          <w:color w:val="000000"/>
          <w:sz w:val="24"/>
          <w:highlight w:val="none"/>
          <w:u w:val="single"/>
          <w:lang w:val="zh-CN"/>
        </w:rPr>
        <w:t xml:space="preserve">施桥二线船闸下游靠船墩专项养护改造项目</w:t>
      </w:r>
      <w:r>
        <w:rPr>
          <w:rFonts w:hint="eastAsia" w:ascii="宋体" w:hAnsi="宋体" w:eastAsia="宋体" w:cs="宋体"/>
          <w:color w:val="000000"/>
          <w:sz w:val="24"/>
          <w:highlight w:val="none"/>
          <w:lang w:val="zh-CN"/>
        </w:rPr>
        <w:t xml:space="preserve">招标公告，我方在参加</w:t>
      </w:r>
      <w:r>
        <w:rPr>
          <w:rFonts w:hint="eastAsia" w:ascii="宋体" w:hAnsi="宋体" w:eastAsia="宋体" w:cs="宋体"/>
          <w:color w:val="000000"/>
          <w:sz w:val="24"/>
          <w:highlight w:val="none"/>
        </w:rPr>
        <w:t xml:space="preserve">投标</w:t>
      </w:r>
      <w:r>
        <w:rPr>
          <w:rFonts w:hint="eastAsia" w:ascii="宋体" w:hAnsi="宋体" w:eastAsia="宋体" w:cs="宋体"/>
          <w:color w:val="000000"/>
          <w:sz w:val="24"/>
          <w:highlight w:val="none"/>
          <w:lang w:val="zh-CN"/>
        </w:rPr>
        <w:t xml:space="preserve">活动中，特做出如下承诺：</w:t>
      </w:r>
      <w:r>
        <w:rPr>
          <w:rFonts w:hint="eastAsia" w:ascii="宋体" w:hAnsi="宋体" w:eastAsia="宋体" w:cs="宋体"/>
          <w:color w:val="000000"/>
          <w:sz w:val="24"/>
          <w:szCs w:val="32"/>
          <w:highlight w:val="none"/>
        </w:rPr>
      </w:r>
      <w:r/>
    </w:p>
    <w:p>
      <w:pPr>
        <w:pStyle w:val="801"/>
        <w:ind w:firstLine="48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w:t>
      </w:r>
      <w:r>
        <w:rPr>
          <w:rFonts w:hint="eastAsia" w:ascii="宋体" w:hAnsi="宋体" w:eastAsia="宋体" w:cs="宋体"/>
          <w:b/>
          <w:color w:val="000000"/>
          <w:sz w:val="24"/>
          <w:highlight w:val="none"/>
          <w:lang w:val="zh-CN"/>
        </w:rPr>
        <w:t xml:space="preserve">我们的资格条件完全符合政府采购法和本次采购要求</w:t>
      </w:r>
      <w:r>
        <w:rPr>
          <w:rFonts w:hint="eastAsia" w:ascii="宋体" w:hAnsi="宋体" w:eastAsia="宋体" w:cs="宋体"/>
          <w:color w:val="000000"/>
          <w:sz w:val="24"/>
          <w:highlight w:val="none"/>
          <w:lang w:val="zh-CN"/>
        </w:rPr>
        <w:t xml:space="preserve">，</w:t>
      </w:r>
      <w:r>
        <w:rPr>
          <w:rFonts w:hint="eastAsia" w:ascii="宋体" w:hAnsi="宋体" w:eastAsia="宋体" w:cs="宋体"/>
          <w:color w:val="000000"/>
          <w:sz w:val="24"/>
          <w:szCs w:val="32"/>
          <w:highlight w:val="none"/>
        </w:rPr>
        <w:t xml:space="preserve">我们</w:t>
      </w:r>
      <w:r>
        <w:rPr>
          <w:rFonts w:hint="eastAsia" w:ascii="宋体" w:hAnsi="宋体" w:eastAsia="宋体" w:cs="宋体"/>
          <w:color w:val="000000"/>
          <w:sz w:val="24"/>
          <w:highlight w:val="none"/>
          <w:lang w:val="zh-CN"/>
        </w:rPr>
        <w:t xml:space="preserve">同意并向贵方提供了与本次采购活动有关的所有证据和资料</w:t>
      </w:r>
      <w:r>
        <w:rPr>
          <w:rFonts w:hint="eastAsia" w:ascii="宋体" w:hAnsi="宋体" w:eastAsia="宋体" w:cs="宋体"/>
          <w:color w:val="000000"/>
          <w:sz w:val="24"/>
          <w:szCs w:val="32"/>
          <w:highlight w:val="none"/>
        </w:rPr>
        <w:t xml:space="preserve">。</w:t>
      </w:r>
      <w:r>
        <w:rPr>
          <w:rFonts w:hint="eastAsia" w:ascii="宋体" w:hAnsi="宋体" w:eastAsia="宋体" w:cs="宋体"/>
          <w:color w:val="000000"/>
          <w:sz w:val="24"/>
          <w:szCs w:val="32"/>
          <w:highlight w:val="none"/>
        </w:rPr>
      </w:r>
      <w:r/>
    </w:p>
    <w:p>
      <w:pPr>
        <w:pStyle w:val="801"/>
        <w:ind w:firstLine="48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2、</w:t>
      </w:r>
      <w:r>
        <w:rPr>
          <w:rFonts w:hint="eastAsia" w:ascii="宋体" w:hAnsi="宋体" w:eastAsia="宋体" w:cs="宋体"/>
          <w:color w:val="000000"/>
          <w:sz w:val="24"/>
          <w:highlight w:val="none"/>
          <w:lang w:val="zh-CN"/>
        </w:rPr>
        <w:t xml:space="preserve">我们的</w:t>
      </w:r>
      <w:r>
        <w:rPr>
          <w:rFonts w:hint="eastAsia" w:ascii="宋体" w:hAnsi="宋体" w:eastAsia="宋体" w:cs="宋体"/>
          <w:color w:val="000000"/>
          <w:sz w:val="24"/>
          <w:szCs w:val="32"/>
          <w:highlight w:val="none"/>
        </w:rPr>
        <w:t xml:space="preserve">总报价为（大写）</w:t>
      </w:r>
      <w:r>
        <w:rPr>
          <w:rFonts w:hint="eastAsia" w:ascii="宋体" w:hAnsi="宋体" w:eastAsia="宋体" w:cs="宋体"/>
          <w:b/>
          <w:bCs/>
          <w:color w:val="000000"/>
          <w:sz w:val="24"/>
          <w:szCs w:val="32"/>
          <w:highlight w:val="none"/>
          <w:u w:val="single"/>
        </w:rPr>
        <w:t xml:space="preserve">             </w:t>
      </w:r>
      <w:r>
        <w:rPr>
          <w:rFonts w:hint="eastAsia" w:ascii="宋体" w:hAnsi="宋体" w:eastAsia="宋体" w:cs="宋体"/>
          <w:color w:val="000000"/>
          <w:sz w:val="24"/>
          <w:szCs w:val="32"/>
          <w:highlight w:val="none"/>
        </w:rPr>
        <w:t xml:space="preserve">元人民币，</w:t>
      </w:r>
      <w:r>
        <w:rPr>
          <w:rFonts w:hint="eastAsia" w:ascii="宋体" w:hAnsi="宋体" w:eastAsia="宋体" w:cs="宋体"/>
          <w:bCs/>
          <w:color w:val="000000"/>
          <w:sz w:val="24"/>
          <w:szCs w:val="32"/>
          <w:highlight w:val="none"/>
        </w:rPr>
        <w:t xml:space="preserve">总工期</w:t>
      </w:r>
      <w:r>
        <w:rPr>
          <w:rFonts w:hint="eastAsia" w:ascii="宋体" w:hAnsi="宋体" w:eastAsia="宋体" w:cs="宋体"/>
          <w:bCs/>
          <w:color w:val="000000"/>
          <w:sz w:val="24"/>
          <w:szCs w:val="32"/>
          <w:highlight w:val="none"/>
          <w:u w:val="single"/>
        </w:rPr>
        <w:t xml:space="preserve">    </w:t>
      </w:r>
      <w:r>
        <w:rPr>
          <w:rFonts w:hint="eastAsia" w:ascii="宋体" w:hAnsi="宋体" w:eastAsia="宋体" w:cs="宋体"/>
          <w:bCs/>
          <w:color w:val="000000"/>
          <w:sz w:val="24"/>
          <w:szCs w:val="32"/>
          <w:highlight w:val="none"/>
        </w:rPr>
        <w:t xml:space="preserve">日历天。</w:t>
      </w:r>
      <w:r>
        <w:rPr>
          <w:rFonts w:hint="eastAsia" w:ascii="宋体" w:hAnsi="宋体" w:eastAsia="宋体" w:cs="宋体"/>
          <w:color w:val="000000"/>
          <w:sz w:val="24"/>
          <w:szCs w:val="32"/>
          <w:highlight w:val="none"/>
        </w:rPr>
      </w:r>
      <w:r/>
    </w:p>
    <w:p>
      <w:pPr>
        <w:pStyle w:val="801"/>
        <w:ind w:firstLine="48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3、</w:t>
      </w:r>
      <w:r>
        <w:rPr>
          <w:rFonts w:hint="eastAsia" w:ascii="宋体" w:hAnsi="宋体" w:eastAsia="宋体" w:cs="宋体"/>
          <w:color w:val="000000"/>
          <w:sz w:val="24"/>
          <w:highlight w:val="none"/>
          <w:lang w:val="zh-CN"/>
        </w:rPr>
        <w:t xml:space="preserve">我们已详细审核全部招标文件及其有效补充文件，我们放弃对招标文件任何误解的权利，提交投标文件后，不对招标文件本身提出质疑。否则，属于不诚信和故意扰乱政府采购活动行为，我们将无条件接受处罚。</w:t>
      </w:r>
      <w:r>
        <w:rPr>
          <w:rFonts w:hint="eastAsia" w:ascii="宋体" w:hAnsi="宋体" w:eastAsia="宋体" w:cs="宋体"/>
          <w:color w:val="000000"/>
          <w:sz w:val="24"/>
          <w:szCs w:val="32"/>
          <w:highlight w:val="none"/>
        </w:rPr>
      </w:r>
      <w:r/>
    </w:p>
    <w:p>
      <w:pPr>
        <w:pStyle w:val="801"/>
        <w:ind w:firstLine="48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4、一旦我方中标，我方将根据招标文件的规定，严格履行合同，保证于承诺的时间内完成本项目规定的货物、服务和工程内容。</w:t>
      </w:r>
      <w:r>
        <w:rPr>
          <w:rFonts w:hint="eastAsia" w:ascii="宋体" w:hAnsi="宋体" w:eastAsia="宋体" w:cs="宋体"/>
          <w:color w:val="000000"/>
          <w:sz w:val="24"/>
          <w:szCs w:val="32"/>
          <w:highlight w:val="none"/>
        </w:rPr>
      </w:r>
      <w:r/>
    </w:p>
    <w:p>
      <w:pPr>
        <w:pStyle w:val="801"/>
        <w:ind w:firstLine="480"/>
        <w:rPr>
          <w:rFonts w:hint="eastAsia" w:ascii="宋体" w:hAnsi="宋体" w:eastAsia="宋体" w:cs="宋体"/>
          <w:color w:val="000000"/>
          <w:sz w:val="24"/>
          <w:highlight w:val="none"/>
        </w:rPr>
      </w:pPr>
      <w:r>
        <w:rPr>
          <w:rFonts w:hint="eastAsia" w:ascii="宋体" w:hAnsi="宋体" w:eastAsia="宋体" w:cs="宋体"/>
          <w:color w:val="000000"/>
          <w:sz w:val="24"/>
          <w:szCs w:val="32"/>
          <w:highlight w:val="none"/>
        </w:rPr>
        <w:t xml:space="preserve">5、我方决不</w:t>
      </w:r>
      <w:r>
        <w:rPr>
          <w:rFonts w:hint="eastAsia" w:ascii="宋体" w:hAnsi="宋体" w:eastAsia="宋体" w:cs="宋体"/>
          <w:color w:val="000000"/>
          <w:sz w:val="24"/>
          <w:highlight w:val="none"/>
        </w:rPr>
        <w:t xml:space="preserve">提供虚假材料谋取中标、</w:t>
      </w:r>
      <w:r>
        <w:rPr>
          <w:rFonts w:hint="eastAsia" w:ascii="宋体" w:hAnsi="宋体" w:eastAsia="宋体" w:cs="宋体"/>
          <w:color w:val="000000"/>
          <w:sz w:val="24"/>
          <w:szCs w:val="32"/>
          <w:highlight w:val="none"/>
        </w:rPr>
        <w:t xml:space="preserve">决不</w:t>
      </w:r>
      <w:r>
        <w:rPr>
          <w:rFonts w:hint="eastAsia" w:ascii="宋体" w:hAnsi="宋体" w:eastAsia="宋体" w:cs="宋体"/>
          <w:color w:val="000000"/>
          <w:sz w:val="24"/>
          <w:highlight w:val="none"/>
        </w:rPr>
        <w:t xml:space="preserve">采取不正当手段诋毁、排挤其他投标人、</w:t>
      </w:r>
      <w:r>
        <w:rPr>
          <w:rFonts w:hint="eastAsia" w:ascii="宋体" w:hAnsi="宋体" w:eastAsia="宋体" w:cs="宋体"/>
          <w:color w:val="000000"/>
          <w:sz w:val="24"/>
          <w:szCs w:val="32"/>
          <w:highlight w:val="none"/>
        </w:rPr>
        <w:t xml:space="preserve">决不</w:t>
      </w:r>
      <w:r>
        <w:rPr>
          <w:rFonts w:hint="eastAsia" w:ascii="宋体" w:hAnsi="宋体" w:eastAsia="宋体" w:cs="宋体"/>
          <w:color w:val="000000"/>
          <w:sz w:val="24"/>
          <w:highlight w:val="none"/>
        </w:rPr>
        <w:t xml:space="preserve">与招标人、其它投标人恶意串通、</w:t>
      </w:r>
      <w:r>
        <w:rPr>
          <w:rFonts w:hint="eastAsia" w:ascii="宋体" w:hAnsi="宋体" w:eastAsia="宋体" w:cs="宋体"/>
          <w:color w:val="000000"/>
          <w:sz w:val="24"/>
          <w:szCs w:val="32"/>
          <w:highlight w:val="none"/>
        </w:rPr>
        <w:t xml:space="preserve">决不</w:t>
      </w:r>
      <w:r>
        <w:rPr>
          <w:rFonts w:hint="eastAsia" w:ascii="宋体" w:hAnsi="宋体" w:eastAsia="宋体" w:cs="宋体"/>
          <w:color w:val="000000"/>
          <w:sz w:val="24"/>
          <w:highlight w:val="none"/>
        </w:rPr>
        <w:t xml:space="preserve">向</w:t>
      </w:r>
      <w:r>
        <w:rPr>
          <w:rFonts w:hint="eastAsia" w:ascii="宋体" w:hAnsi="宋体" w:eastAsia="宋体" w:cs="宋体"/>
          <w:color w:val="000000"/>
          <w:sz w:val="24"/>
          <w:szCs w:val="32"/>
          <w:highlight w:val="none"/>
        </w:rPr>
        <w:t xml:space="preserve">招标人、招标代理机构和评标委员会进行商业贿赂</w:t>
      </w:r>
      <w:r>
        <w:rPr>
          <w:rFonts w:hint="eastAsia" w:ascii="宋体" w:hAnsi="宋体" w:eastAsia="宋体" w:cs="宋体"/>
          <w:color w:val="000000"/>
          <w:sz w:val="24"/>
          <w:highlight w:val="none"/>
        </w:rPr>
        <w:t xml:space="preserve">、决不拒绝有关部门监督检查或提供虚假情况，如有违反，</w:t>
      </w:r>
      <w:r>
        <w:rPr>
          <w:rFonts w:hint="eastAsia" w:ascii="宋体" w:hAnsi="宋体" w:eastAsia="宋体" w:cs="宋体"/>
          <w:color w:val="000000"/>
          <w:sz w:val="24"/>
          <w:szCs w:val="32"/>
          <w:highlight w:val="none"/>
        </w:rPr>
        <w:t xml:space="preserve">无条件接受贵方及相关管理部门的处罚。</w:t>
      </w:r>
      <w:r>
        <w:rPr>
          <w:rFonts w:hint="eastAsia" w:ascii="宋体" w:hAnsi="宋体" w:eastAsia="宋体" w:cs="宋体"/>
          <w:color w:val="000000"/>
          <w:sz w:val="24"/>
          <w:highlight w:val="none"/>
        </w:rPr>
      </w:r>
      <w:r/>
    </w:p>
    <w:p>
      <w:pPr>
        <w:pStyle w:val="801"/>
        <w:ind w:firstLine="48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6、我方正式通讯方式为：</w:t>
      </w:r>
      <w:r>
        <w:rPr>
          <w:rFonts w:hint="eastAsia" w:ascii="宋体" w:hAnsi="宋体" w:eastAsia="宋体" w:cs="宋体"/>
          <w:color w:val="000000"/>
          <w:sz w:val="24"/>
          <w:szCs w:val="32"/>
          <w:highlight w:val="none"/>
        </w:rPr>
      </w:r>
      <w:r/>
    </w:p>
    <w:p>
      <w:pPr>
        <w:pStyle w:val="801"/>
        <w:ind w:firstLine="480"/>
        <w:rPr>
          <w:rFonts w:hint="eastAsia" w:ascii="宋体" w:hAnsi="宋体" w:eastAsia="宋体" w:cs="宋体"/>
          <w:color w:val="000000"/>
          <w:sz w:val="24"/>
          <w:szCs w:val="32"/>
          <w:highlight w:val="none"/>
          <w:u w:val="single"/>
        </w:rPr>
      </w:pPr>
      <w:r>
        <w:rPr>
          <w:rFonts w:hint="eastAsia" w:ascii="宋体" w:hAnsi="宋体" w:eastAsia="宋体" w:cs="宋体"/>
          <w:color w:val="000000"/>
          <w:sz w:val="24"/>
          <w:szCs w:val="32"/>
          <w:highlight w:val="none"/>
        </w:rPr>
        <w:t xml:space="preserve">地   址：</w:t>
      </w:r>
      <w:r>
        <w:rPr>
          <w:rFonts w:hint="eastAsia" w:ascii="宋体" w:hAnsi="宋体" w:eastAsia="宋体" w:cs="宋体"/>
          <w:color w:val="000000"/>
          <w:sz w:val="24"/>
          <w:szCs w:val="32"/>
          <w:highlight w:val="none"/>
          <w:u w:val="single"/>
        </w:rPr>
        <w:t xml:space="preserve">                       </w:t>
      </w:r>
      <w:r>
        <w:rPr>
          <w:rFonts w:hint="eastAsia" w:ascii="宋体" w:hAnsi="宋体" w:eastAsia="宋体" w:cs="宋体"/>
          <w:color w:val="000000"/>
          <w:sz w:val="24"/>
          <w:szCs w:val="32"/>
          <w:highlight w:val="none"/>
          <w:u w:val="single"/>
        </w:rPr>
      </w:r>
      <w:r/>
    </w:p>
    <w:p>
      <w:pPr>
        <w:pStyle w:val="801"/>
        <w:ind w:firstLine="480"/>
        <w:rPr>
          <w:rFonts w:hint="eastAsia" w:ascii="宋体" w:hAnsi="宋体" w:eastAsia="宋体" w:cs="宋体"/>
          <w:color w:val="000000"/>
          <w:sz w:val="24"/>
          <w:szCs w:val="32"/>
          <w:highlight w:val="none"/>
          <w:u w:val="single"/>
        </w:rPr>
      </w:pPr>
      <w:r>
        <w:rPr>
          <w:rFonts w:hint="eastAsia" w:ascii="宋体" w:hAnsi="宋体" w:eastAsia="宋体" w:cs="宋体"/>
          <w:color w:val="000000"/>
          <w:sz w:val="24"/>
          <w:szCs w:val="32"/>
          <w:highlight w:val="none"/>
        </w:rPr>
        <w:t xml:space="preserve">电   话：</w:t>
      </w:r>
      <w:r>
        <w:rPr>
          <w:rFonts w:hint="eastAsia" w:ascii="宋体" w:hAnsi="宋体" w:eastAsia="宋体" w:cs="宋体"/>
          <w:color w:val="000000"/>
          <w:sz w:val="24"/>
          <w:szCs w:val="32"/>
          <w:highlight w:val="none"/>
          <w:u w:val="single"/>
        </w:rPr>
        <w:t xml:space="preserve">                       </w:t>
      </w:r>
      <w:r>
        <w:rPr>
          <w:rFonts w:hint="eastAsia" w:ascii="宋体" w:hAnsi="宋体" w:eastAsia="宋体" w:cs="宋体"/>
          <w:color w:val="000000"/>
          <w:sz w:val="24"/>
          <w:szCs w:val="32"/>
          <w:highlight w:val="none"/>
          <w:u w:val="single"/>
        </w:rPr>
      </w:r>
      <w:r/>
    </w:p>
    <w:p>
      <w:pPr>
        <w:pStyle w:val="801"/>
        <w:ind w:firstLine="480"/>
        <w:rPr>
          <w:rFonts w:hint="eastAsia" w:ascii="宋体" w:hAnsi="宋体" w:eastAsia="宋体" w:cs="宋体"/>
          <w:color w:val="000000"/>
          <w:sz w:val="24"/>
          <w:szCs w:val="32"/>
          <w:highlight w:val="none"/>
          <w:u w:val="single"/>
        </w:rPr>
      </w:pPr>
      <w:r>
        <w:rPr>
          <w:rFonts w:hint="eastAsia" w:ascii="宋体" w:hAnsi="宋体" w:eastAsia="宋体" w:cs="宋体"/>
          <w:color w:val="000000"/>
          <w:sz w:val="24"/>
          <w:szCs w:val="32"/>
          <w:highlight w:val="none"/>
        </w:rPr>
        <w:t xml:space="preserve">传   真：</w:t>
      </w:r>
      <w:r>
        <w:rPr>
          <w:rFonts w:hint="eastAsia" w:ascii="宋体" w:hAnsi="宋体" w:eastAsia="宋体" w:cs="宋体"/>
          <w:color w:val="000000"/>
          <w:sz w:val="24"/>
          <w:szCs w:val="32"/>
          <w:highlight w:val="none"/>
          <w:u w:val="single"/>
        </w:rPr>
        <w:t xml:space="preserve">                       </w:t>
      </w:r>
      <w:r>
        <w:rPr>
          <w:rFonts w:hint="eastAsia" w:ascii="宋体" w:hAnsi="宋体" w:eastAsia="宋体" w:cs="宋体"/>
          <w:color w:val="000000"/>
          <w:sz w:val="24"/>
          <w:szCs w:val="32"/>
          <w:highlight w:val="none"/>
          <w:u w:val="single"/>
        </w:rPr>
      </w:r>
      <w:r/>
    </w:p>
    <w:p>
      <w:pPr>
        <w:pStyle w:val="801"/>
        <w:ind w:firstLine="48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7、我方正式开户银行和账号为：</w:t>
      </w:r>
      <w:r>
        <w:rPr>
          <w:rFonts w:hint="eastAsia" w:ascii="宋体" w:hAnsi="宋体" w:eastAsia="宋体" w:cs="宋体"/>
          <w:color w:val="000000"/>
          <w:sz w:val="24"/>
          <w:szCs w:val="32"/>
          <w:highlight w:val="none"/>
        </w:rPr>
      </w:r>
      <w:r/>
    </w:p>
    <w:p>
      <w:pPr>
        <w:pStyle w:val="801"/>
        <w:ind w:firstLine="480"/>
        <w:rPr>
          <w:rFonts w:hint="eastAsia" w:ascii="宋体" w:hAnsi="宋体" w:eastAsia="宋体" w:cs="宋体"/>
          <w:color w:val="000000"/>
          <w:sz w:val="24"/>
          <w:szCs w:val="32"/>
          <w:highlight w:val="none"/>
          <w:u w:val="single"/>
        </w:rPr>
      </w:pPr>
      <w:r>
        <w:rPr>
          <w:rFonts w:hint="eastAsia" w:ascii="宋体" w:hAnsi="宋体" w:eastAsia="宋体" w:cs="宋体"/>
          <w:color w:val="000000"/>
          <w:sz w:val="24"/>
          <w:szCs w:val="32"/>
          <w:highlight w:val="none"/>
        </w:rPr>
        <w:t xml:space="preserve">开户银行：</w:t>
      </w:r>
      <w:r>
        <w:rPr>
          <w:rFonts w:hint="eastAsia" w:ascii="宋体" w:hAnsi="宋体" w:eastAsia="宋体" w:cs="宋体"/>
          <w:color w:val="000000"/>
          <w:sz w:val="24"/>
          <w:szCs w:val="32"/>
          <w:highlight w:val="none"/>
          <w:u w:val="single"/>
        </w:rPr>
        <w:t xml:space="preserve">                       </w:t>
      </w:r>
      <w:r>
        <w:rPr>
          <w:rFonts w:hint="eastAsia" w:ascii="宋体" w:hAnsi="宋体" w:eastAsia="宋体" w:cs="宋体"/>
          <w:color w:val="000000"/>
          <w:sz w:val="24"/>
          <w:szCs w:val="32"/>
          <w:highlight w:val="none"/>
          <w:u w:val="single"/>
        </w:rPr>
      </w:r>
      <w:r/>
    </w:p>
    <w:p>
      <w:pPr>
        <w:pStyle w:val="801"/>
        <w:ind w:firstLine="480"/>
        <w:rPr>
          <w:rFonts w:hint="eastAsia" w:ascii="宋体" w:hAnsi="宋体" w:eastAsia="宋体" w:cs="宋体"/>
          <w:color w:val="000000"/>
          <w:sz w:val="24"/>
          <w:szCs w:val="32"/>
          <w:highlight w:val="none"/>
          <w:u w:val="single"/>
        </w:rPr>
      </w:pPr>
      <w:r>
        <w:rPr>
          <w:rFonts w:hint="eastAsia" w:ascii="宋体" w:hAnsi="宋体" w:eastAsia="宋体" w:cs="宋体"/>
          <w:color w:val="000000"/>
          <w:sz w:val="24"/>
          <w:szCs w:val="32"/>
          <w:highlight w:val="none"/>
        </w:rPr>
        <w:t xml:space="preserve">帐    号：</w:t>
      </w:r>
      <w:r>
        <w:rPr>
          <w:rFonts w:hint="eastAsia" w:ascii="宋体" w:hAnsi="宋体" w:eastAsia="宋体" w:cs="宋体"/>
          <w:color w:val="000000"/>
          <w:sz w:val="24"/>
          <w:szCs w:val="32"/>
          <w:highlight w:val="none"/>
          <w:u w:val="single"/>
        </w:rPr>
        <w:t xml:space="preserve">        </w:t>
      </w:r>
      <w:r>
        <w:rPr>
          <w:rFonts w:hint="eastAsia" w:ascii="宋体" w:hAnsi="宋体" w:eastAsia="宋体" w:cs="宋体"/>
          <w:color w:val="000000"/>
          <w:sz w:val="24"/>
          <w:szCs w:val="32"/>
          <w:highlight w:val="none"/>
          <w:u w:val="single"/>
        </w:rPr>
      </w:r>
      <w:r/>
    </w:p>
    <w:p>
      <w:pPr>
        <w:pStyle w:val="801"/>
        <w:ind w:firstLine="48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r>
      <w:r/>
    </w:p>
    <w:p>
      <w:pPr>
        <w:pStyle w:val="801"/>
        <w:ind w:firstLine="384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投标人名称：</w:t>
      </w:r>
      <w:r>
        <w:rPr>
          <w:rFonts w:hint="eastAsia" w:ascii="宋体" w:hAnsi="宋体" w:eastAsia="宋体" w:cs="宋体"/>
          <w:color w:val="000000"/>
          <w:sz w:val="24"/>
          <w:szCs w:val="32"/>
          <w:highlight w:val="none"/>
          <w:u w:val="single"/>
        </w:rPr>
        <w:t xml:space="preserve">               </w:t>
      </w:r>
      <w:r>
        <w:rPr>
          <w:rFonts w:hint="eastAsia" w:ascii="宋体" w:hAnsi="宋体" w:eastAsia="宋体" w:cs="宋体"/>
          <w:color w:val="000000"/>
          <w:sz w:val="24"/>
          <w:szCs w:val="32"/>
          <w:highlight w:val="none"/>
        </w:rPr>
        <w:t xml:space="preserve">（加盖CA电子公章）</w:t>
      </w:r>
      <w:r>
        <w:rPr>
          <w:rFonts w:hint="eastAsia" w:ascii="宋体" w:hAnsi="宋体" w:eastAsia="宋体" w:cs="宋体"/>
          <w:color w:val="000000"/>
          <w:sz w:val="24"/>
          <w:szCs w:val="32"/>
          <w:highlight w:val="none"/>
        </w:rPr>
      </w:r>
      <w:r/>
    </w:p>
    <w:p>
      <w:pPr>
        <w:pStyle w:val="801"/>
        <w:ind w:firstLine="384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法定代表人：</w:t>
      </w:r>
      <w:r>
        <w:rPr>
          <w:rFonts w:hint="eastAsia" w:ascii="宋体" w:hAnsi="宋体" w:eastAsia="宋体" w:cs="宋体"/>
          <w:color w:val="000000"/>
          <w:sz w:val="24"/>
          <w:szCs w:val="32"/>
          <w:highlight w:val="none"/>
          <w:u w:val="single"/>
        </w:rPr>
        <w:t xml:space="preserve">               </w:t>
      </w:r>
      <w:r>
        <w:rPr>
          <w:rFonts w:hint="eastAsia" w:ascii="宋体" w:hAnsi="宋体" w:eastAsia="宋体" w:cs="宋体"/>
          <w:color w:val="000000"/>
          <w:sz w:val="24"/>
          <w:szCs w:val="32"/>
          <w:highlight w:val="none"/>
        </w:rPr>
        <w:t xml:space="preserve">（加盖CA电子签章）</w:t>
      </w:r>
      <w:r>
        <w:rPr>
          <w:rFonts w:hint="eastAsia" w:ascii="宋体" w:hAnsi="宋体" w:eastAsia="宋体" w:cs="宋体"/>
          <w:color w:val="000000"/>
          <w:sz w:val="24"/>
          <w:szCs w:val="32"/>
          <w:highlight w:val="none"/>
        </w:rPr>
      </w:r>
      <w:r/>
    </w:p>
    <w:p>
      <w:pPr>
        <w:pStyle w:val="801"/>
        <w:ind w:firstLine="3840"/>
        <w:jc w:val="left"/>
        <w:rPr>
          <w:rFonts w:hint="eastAsia" w:ascii="宋体" w:hAnsi="宋体" w:eastAsia="宋体" w:cs="宋体"/>
          <w:color w:val="000000"/>
          <w:sz w:val="24"/>
          <w:highlight w:val="none"/>
        </w:rPr>
      </w:pPr>
      <w:r>
        <w:rPr>
          <w:rFonts w:hint="eastAsia" w:ascii="宋体" w:hAnsi="宋体" w:eastAsia="宋体" w:cs="宋体"/>
          <w:color w:val="000000"/>
          <w:sz w:val="24"/>
          <w:szCs w:val="32"/>
          <w:highlight w:val="none"/>
        </w:rPr>
        <w:t xml:space="preserve">日    期：</w:t>
      </w:r>
      <w:r>
        <w:rPr>
          <w:rFonts w:hint="eastAsia" w:ascii="宋体" w:hAnsi="宋体" w:eastAsia="宋体" w:cs="宋体"/>
          <w:color w:val="000000"/>
          <w:sz w:val="24"/>
          <w:szCs w:val="32"/>
          <w:highlight w:val="none"/>
          <w:u w:val="single"/>
        </w:rPr>
        <w:t xml:space="preserve">       </w:t>
      </w:r>
      <w:r>
        <w:rPr>
          <w:rFonts w:hint="eastAsia" w:ascii="宋体" w:hAnsi="宋体" w:eastAsia="宋体" w:cs="宋体"/>
          <w:color w:val="000000"/>
          <w:sz w:val="24"/>
          <w:szCs w:val="32"/>
          <w:highlight w:val="none"/>
        </w:rPr>
        <w:t xml:space="preserve">年</w:t>
      </w:r>
      <w:r>
        <w:rPr>
          <w:rFonts w:hint="eastAsia" w:ascii="宋体" w:hAnsi="宋体" w:eastAsia="宋体" w:cs="宋体"/>
          <w:color w:val="000000"/>
          <w:sz w:val="24"/>
          <w:szCs w:val="32"/>
          <w:highlight w:val="none"/>
          <w:u w:val="single"/>
        </w:rPr>
        <w:t xml:space="preserve">    </w:t>
      </w:r>
      <w:r>
        <w:rPr>
          <w:rFonts w:hint="eastAsia" w:ascii="宋体" w:hAnsi="宋体" w:eastAsia="宋体" w:cs="宋体"/>
          <w:color w:val="000000"/>
          <w:sz w:val="24"/>
          <w:szCs w:val="32"/>
          <w:highlight w:val="none"/>
        </w:rPr>
        <w:t xml:space="preserve">月</w:t>
      </w:r>
      <w:r>
        <w:rPr>
          <w:rFonts w:hint="eastAsia" w:ascii="宋体" w:hAnsi="宋体" w:eastAsia="宋体" w:cs="宋体"/>
          <w:color w:val="000000"/>
          <w:sz w:val="24"/>
          <w:szCs w:val="32"/>
          <w:highlight w:val="none"/>
          <w:u w:val="single"/>
        </w:rPr>
        <w:t xml:space="preserve">    </w:t>
      </w:r>
      <w:r>
        <w:rPr>
          <w:rFonts w:hint="eastAsia" w:ascii="宋体" w:hAnsi="宋体" w:eastAsia="宋体" w:cs="宋体"/>
          <w:color w:val="000000"/>
          <w:sz w:val="24"/>
          <w:szCs w:val="32"/>
          <w:highlight w:val="none"/>
        </w:rPr>
        <w:t xml:space="preserve">日</w:t>
      </w:r>
      <w:r>
        <w:rPr>
          <w:rFonts w:hint="eastAsia" w:ascii="宋体" w:hAnsi="宋体" w:eastAsia="宋体" w:cs="宋体"/>
          <w:color w:val="000000"/>
          <w:sz w:val="24"/>
          <w:highlight w:val="none"/>
        </w:rPr>
      </w:r>
      <w:r/>
    </w:p>
    <w:p>
      <w:pPr>
        <w:pStyle w:val="801"/>
        <w:jc w:val="left"/>
        <w:rPr>
          <w:rFonts w:hint="eastAsia" w:ascii="宋体" w:hAnsi="宋体" w:eastAsia="宋体" w:cs="宋体"/>
          <w:color w:val="000000"/>
          <w:sz w:val="18"/>
          <w:highlight w:val="none"/>
        </w:rPr>
      </w:pPr>
      <w:r>
        <w:rPr>
          <w:rFonts w:hint="eastAsia" w:ascii="宋体" w:hAnsi="宋体" w:eastAsia="宋体" w:cs="宋体"/>
          <w:color w:val="000000"/>
          <w:sz w:val="18"/>
          <w:highlight w:val="none"/>
        </w:rPr>
        <w:br w:type="page" w:clear="all"/>
      </w:r>
      <w:r>
        <w:rPr>
          <w:rFonts w:hint="eastAsia" w:ascii="宋体" w:hAnsi="宋体" w:eastAsia="宋体" w:cs="宋体"/>
          <w:color w:val="000000"/>
          <w:sz w:val="18"/>
          <w:highlight w:val="none"/>
        </w:rPr>
      </w:r>
      <w:r/>
    </w:p>
    <w:p>
      <w:pPr>
        <w:pStyle w:val="801"/>
        <w:jc w:val="center"/>
        <w:spacing w:line="400" w:lineRule="exact"/>
        <w:rPr>
          <w:rFonts w:hint="eastAsia" w:ascii="宋体" w:hAnsi="宋体" w:eastAsia="宋体" w:cs="宋体"/>
          <w:b/>
          <w:color w:val="000000"/>
          <w:sz w:val="32"/>
          <w:szCs w:val="32"/>
          <w:highlight w:val="none"/>
        </w:rPr>
        <w:outlineLvl w:val="2"/>
      </w:pPr>
      <w:r/>
      <w:bookmarkStart w:id="183" w:name="_Toc211090872"/>
      <w:r/>
      <w:bookmarkStart w:id="184" w:name="_Toc432244528"/>
      <w:r/>
      <w:bookmarkStart w:id="185" w:name="_Toc503307476"/>
      <w:r/>
      <w:bookmarkStart w:id="186" w:name="_Toc503901979"/>
      <w:r/>
      <w:bookmarkStart w:id="187" w:name="_Toc144974831"/>
      <w:r>
        <w:rPr>
          <w:rFonts w:hint="eastAsia" w:ascii="宋体" w:hAnsi="宋体" w:eastAsia="宋体" w:cs="宋体"/>
          <w:b/>
          <w:color w:val="000000"/>
          <w:sz w:val="32"/>
          <w:szCs w:val="32"/>
          <w:highlight w:val="none"/>
        </w:rPr>
        <w:t xml:space="preserve">二、法定代表人身份证明</w:t>
      </w:r>
      <w:bookmarkEnd w:id="183"/>
      <w:r/>
      <w:bookmarkEnd w:id="184"/>
      <w:r/>
      <w:bookmarkEnd w:id="185"/>
      <w:r/>
      <w:bookmarkEnd w:id="186"/>
      <w:r>
        <w:rPr>
          <w:rFonts w:hint="eastAsia" w:ascii="宋体" w:hAnsi="宋体" w:eastAsia="宋体" w:cs="宋体"/>
          <w:b/>
          <w:color w:val="000000"/>
          <w:sz w:val="32"/>
          <w:szCs w:val="32"/>
          <w:highlight w:val="none"/>
        </w:rPr>
      </w:r>
      <w:r/>
    </w:p>
    <w:p>
      <w:pPr>
        <w:pStyle w:val="801"/>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r>
      <w:r/>
    </w:p>
    <w:p>
      <w:pPr>
        <w:pStyle w:val="801"/>
        <w:jc w:val="center"/>
        <w:spacing w:line="400" w:lineRule="atLeast"/>
        <w:rPr>
          <w:rFonts w:hint="eastAsia" w:ascii="宋体" w:hAnsi="宋体" w:eastAsia="宋体" w:cs="宋体"/>
          <w:bCs/>
          <w:color w:val="000000"/>
          <w:sz w:val="27"/>
          <w:szCs w:val="27"/>
          <w:highlight w:val="none"/>
        </w:rPr>
      </w:pPr>
      <w:r>
        <w:rPr>
          <w:rFonts w:hint="eastAsia" w:ascii="宋体" w:hAnsi="宋体" w:eastAsia="宋体" w:cs="宋体"/>
          <w:bCs/>
          <w:color w:val="000000"/>
          <w:sz w:val="27"/>
          <w:szCs w:val="27"/>
          <w:highlight w:val="none"/>
        </w:rPr>
      </w:r>
      <w:r/>
    </w:p>
    <w:p>
      <w:pPr>
        <w:pStyle w:val="801"/>
        <w:jc w:val="center"/>
        <w:spacing w:line="400" w:lineRule="atLeast"/>
        <w:rPr>
          <w:rFonts w:hint="eastAsia" w:ascii="宋体" w:hAnsi="宋体" w:eastAsia="宋体" w:cs="宋体"/>
          <w:bCs/>
          <w:color w:val="000000"/>
          <w:sz w:val="27"/>
          <w:szCs w:val="27"/>
          <w:highlight w:val="none"/>
        </w:rPr>
      </w:pPr>
      <w:r>
        <w:rPr>
          <w:rFonts w:hint="eastAsia" w:ascii="宋体" w:hAnsi="宋体" w:eastAsia="宋体" w:cs="宋体"/>
          <w:bCs/>
          <w:color w:val="000000"/>
          <w:sz w:val="27"/>
          <w:szCs w:val="27"/>
          <w:highlight w:val="none"/>
        </w:rPr>
      </w:r>
      <w:r/>
    </w:p>
    <w:p>
      <w:pPr>
        <w:pStyle w:val="801"/>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rPr>
        <w:t xml:space="preserve">投标人名称：</w:t>
      </w:r>
      <w:r>
        <w:rPr>
          <w:rFonts w:hint="eastAsia" w:ascii="宋体" w:hAnsi="宋体" w:eastAsia="宋体" w:cs="宋体"/>
          <w:color w:val="000000"/>
          <w:highlight w:val="none"/>
          <w:u w:val="single"/>
        </w:rPr>
        <w:t xml:space="preserve">                </w:t>
      </w:r>
      <w:r>
        <w:rPr>
          <w:rFonts w:hint="eastAsia" w:ascii="宋体" w:hAnsi="宋体" w:eastAsia="宋体" w:cs="宋体"/>
          <w:bCs/>
          <w:color w:val="000000"/>
          <w:sz w:val="24"/>
          <w:highlight w:val="none"/>
          <w:u w:val="single"/>
        </w:rPr>
      </w:r>
      <w:r/>
    </w:p>
    <w:p>
      <w:pPr>
        <w:pStyle w:val="801"/>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rPr>
        <w:t xml:space="preserve">姓名：</w:t>
      </w:r>
      <w:r>
        <w:rPr>
          <w:rFonts w:hint="eastAsia" w:ascii="宋体" w:hAnsi="宋体" w:eastAsia="宋体" w:cs="宋体"/>
          <w:b/>
          <w:bCs/>
          <w:color w:val="000000"/>
          <w:sz w:val="24"/>
          <w:highlight w:val="none"/>
          <w:u w:val="single"/>
        </w:rPr>
        <w:t xml:space="preserve">（法定代表人姓名）</w:t>
      </w:r>
      <w:r>
        <w:rPr>
          <w:rFonts w:hint="eastAsia" w:ascii="宋体" w:hAnsi="宋体" w:eastAsia="宋体" w:cs="宋体"/>
          <w:bCs/>
          <w:color w:val="000000"/>
          <w:sz w:val="24"/>
          <w:highlight w:val="none"/>
        </w:rPr>
        <w:t xml:space="preserve">性别：</w:t>
      </w:r>
      <w:r>
        <w:rPr>
          <w:rFonts w:hint="eastAsia" w:ascii="宋体" w:hAnsi="宋体" w:eastAsia="宋体" w:cs="宋体"/>
          <w:color w:val="000000"/>
          <w:highlight w:val="none"/>
          <w:u w:val="single"/>
        </w:rPr>
        <w:t xml:space="preserve">        </w:t>
      </w:r>
      <w:r>
        <w:rPr>
          <w:rFonts w:hint="eastAsia" w:ascii="宋体" w:hAnsi="宋体" w:eastAsia="宋体" w:cs="宋体"/>
          <w:bCs/>
          <w:color w:val="000000"/>
          <w:sz w:val="24"/>
          <w:highlight w:val="none"/>
        </w:rPr>
        <w:t xml:space="preserve">年龄：</w:t>
      </w:r>
      <w:r>
        <w:rPr>
          <w:rFonts w:hint="eastAsia" w:ascii="宋体" w:hAnsi="宋体" w:eastAsia="宋体" w:cs="宋体"/>
          <w:color w:val="000000"/>
          <w:highlight w:val="none"/>
          <w:u w:val="single"/>
        </w:rPr>
        <w:t xml:space="preserve">        </w:t>
      </w:r>
      <w:r>
        <w:rPr>
          <w:rFonts w:hint="eastAsia" w:ascii="宋体" w:hAnsi="宋体" w:eastAsia="宋体" w:cs="宋体"/>
          <w:bCs/>
          <w:color w:val="000000"/>
          <w:sz w:val="24"/>
          <w:highlight w:val="none"/>
        </w:rPr>
        <w:t xml:space="preserve">职务：</w:t>
      </w:r>
      <w:r>
        <w:rPr>
          <w:rFonts w:hint="eastAsia" w:ascii="宋体" w:hAnsi="宋体" w:eastAsia="宋体" w:cs="宋体"/>
          <w:color w:val="000000"/>
          <w:highlight w:val="none"/>
          <w:u w:val="single"/>
        </w:rPr>
        <w:t xml:space="preserve">        </w:t>
      </w:r>
      <w:r>
        <w:rPr>
          <w:rFonts w:hint="eastAsia" w:ascii="宋体" w:hAnsi="宋体" w:eastAsia="宋体" w:cs="宋体"/>
          <w:bCs/>
          <w:color w:val="000000"/>
          <w:sz w:val="24"/>
          <w:highlight w:val="none"/>
          <w:u w:val="single"/>
        </w:rPr>
      </w:r>
      <w:r/>
    </w:p>
    <w:p>
      <w:pPr>
        <w:pStyle w:val="801"/>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系</w:t>
      </w:r>
      <w:r>
        <w:rPr>
          <w:rFonts w:hint="eastAsia" w:ascii="宋体" w:hAnsi="宋体" w:eastAsia="宋体" w:cs="宋体"/>
          <w:color w:val="000000"/>
          <w:highlight w:val="none"/>
          <w:u w:val="single"/>
        </w:rPr>
        <w:t xml:space="preserve">        </w:t>
      </w:r>
      <w:r>
        <w:rPr>
          <w:rFonts w:hint="eastAsia" w:ascii="宋体" w:hAnsi="宋体" w:eastAsia="宋体" w:cs="宋体"/>
          <w:bCs/>
          <w:color w:val="000000"/>
          <w:sz w:val="24"/>
          <w:highlight w:val="none"/>
          <w:u w:val="single"/>
        </w:rPr>
        <w:t xml:space="preserve"> </w:t>
      </w:r>
      <w:r>
        <w:rPr>
          <w:rFonts w:hint="eastAsia" w:ascii="宋体" w:hAnsi="宋体" w:eastAsia="宋体" w:cs="宋体"/>
          <w:color w:val="000000"/>
          <w:highlight w:val="none"/>
          <w:u w:val="single"/>
        </w:rPr>
        <w:t xml:space="preserve">        </w:t>
      </w:r>
      <w:r>
        <w:rPr>
          <w:rFonts w:hint="eastAsia" w:ascii="宋体" w:hAnsi="宋体" w:eastAsia="宋体" w:cs="宋体"/>
          <w:bCs/>
          <w:color w:val="000000"/>
          <w:sz w:val="24"/>
          <w:highlight w:val="none"/>
        </w:rPr>
        <w:t xml:space="preserve"> (投标人名称)的法定代表人。</w:t>
      </w:r>
      <w:r>
        <w:rPr>
          <w:rFonts w:hint="eastAsia" w:ascii="宋体" w:hAnsi="宋体" w:eastAsia="宋体" w:cs="宋体"/>
          <w:bCs/>
          <w:color w:val="000000"/>
          <w:sz w:val="24"/>
          <w:highlight w:val="none"/>
        </w:rPr>
      </w:r>
      <w:r/>
    </w:p>
    <w:p>
      <w:pPr>
        <w:pStyle w:val="801"/>
        <w:ind w:firstLine="480"/>
        <w:spacing w:line="400" w:lineRule="atLeas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801"/>
        <w:ind w:firstLine="480"/>
        <w:spacing w:line="400" w:lineRule="atLeas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801"/>
        <w:ind w:firstLine="480"/>
        <w:spacing w:line="400" w:lineRule="atLeas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特此证明。</w:t>
      </w:r>
      <w:r>
        <w:rPr>
          <w:rFonts w:hint="eastAsia" w:ascii="宋体" w:hAnsi="宋体" w:eastAsia="宋体" w:cs="宋体"/>
          <w:bCs/>
          <w:color w:val="000000"/>
          <w:sz w:val="24"/>
          <w:highlight w:val="none"/>
        </w:rPr>
      </w:r>
      <w:r/>
    </w:p>
    <w:p>
      <w:pPr>
        <w:pStyle w:val="801"/>
        <w:spacing w:line="400" w:lineRule="atLeas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801"/>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附：法定代表人身份证扫描件。</w:t>
      </w:r>
      <w:r>
        <w:rPr>
          <w:rFonts w:hint="eastAsia" w:ascii="宋体" w:hAnsi="宋体" w:eastAsia="宋体" w:cs="宋体"/>
          <w:color w:val="000000"/>
          <w:sz w:val="24"/>
          <w:highlight w:val="none"/>
        </w:rPr>
      </w:r>
      <w:r/>
    </w:p>
    <w:p>
      <w:pPr>
        <w:pStyle w:val="801"/>
        <w:spacing w:line="400" w:lineRule="atLeas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801"/>
        <w:spacing w:line="400" w:lineRule="atLeas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801"/>
        <w:spacing w:line="400" w:lineRule="atLeas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801"/>
        <w:ind w:firstLine="480"/>
        <w:rPr>
          <w:rFonts w:hint="eastAsia" w:ascii="宋体" w:hAnsi="宋体" w:eastAsia="宋体" w:cs="宋体"/>
          <w:color w:val="000000"/>
          <w:sz w:val="24"/>
          <w:szCs w:val="32"/>
          <w:highlight w:val="none"/>
        </w:rPr>
      </w:pPr>
      <w:r>
        <w:rPr>
          <w:rFonts w:hint="eastAsia" w:ascii="宋体" w:hAnsi="宋体" w:eastAsia="宋体" w:cs="宋体"/>
          <w:bCs/>
          <w:color w:val="000000"/>
          <w:sz w:val="24"/>
          <w:highlight w:val="none"/>
        </w:rPr>
        <w:t xml:space="preserve">                             </w:t>
      </w:r>
      <w:r>
        <w:rPr>
          <w:rFonts w:hint="eastAsia" w:ascii="宋体" w:hAnsi="宋体" w:eastAsia="宋体" w:cs="宋体"/>
          <w:color w:val="000000"/>
          <w:sz w:val="24"/>
          <w:szCs w:val="32"/>
          <w:highlight w:val="none"/>
        </w:rPr>
      </w:r>
      <w:r/>
    </w:p>
    <w:p>
      <w:pPr>
        <w:pStyle w:val="801"/>
        <w:ind w:firstLine="384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投标人名称：</w:t>
      </w:r>
      <w:r>
        <w:rPr>
          <w:rFonts w:hint="eastAsia" w:ascii="宋体" w:hAnsi="宋体" w:eastAsia="宋体" w:cs="宋体"/>
          <w:color w:val="000000"/>
          <w:sz w:val="24"/>
          <w:szCs w:val="32"/>
          <w:highlight w:val="none"/>
          <w:u w:val="single"/>
        </w:rPr>
        <w:t xml:space="preserve">               </w:t>
      </w:r>
      <w:r>
        <w:rPr>
          <w:rFonts w:hint="eastAsia" w:ascii="宋体" w:hAnsi="宋体" w:eastAsia="宋体" w:cs="宋体"/>
          <w:color w:val="000000"/>
          <w:sz w:val="24"/>
          <w:szCs w:val="32"/>
          <w:highlight w:val="none"/>
        </w:rPr>
        <w:t xml:space="preserve">（加盖CA电子公章）</w:t>
      </w:r>
      <w:r>
        <w:rPr>
          <w:rFonts w:hint="eastAsia" w:ascii="宋体" w:hAnsi="宋体" w:eastAsia="宋体" w:cs="宋体"/>
          <w:color w:val="000000"/>
          <w:sz w:val="24"/>
          <w:szCs w:val="32"/>
          <w:highlight w:val="none"/>
        </w:rPr>
      </w:r>
      <w:r/>
    </w:p>
    <w:p>
      <w:pPr>
        <w:pStyle w:val="801"/>
        <w:ind w:firstLine="384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法定代表人：</w:t>
      </w:r>
      <w:r>
        <w:rPr>
          <w:rFonts w:hint="eastAsia" w:ascii="宋体" w:hAnsi="宋体" w:eastAsia="宋体" w:cs="宋体"/>
          <w:color w:val="000000"/>
          <w:sz w:val="24"/>
          <w:szCs w:val="32"/>
          <w:highlight w:val="none"/>
          <w:u w:val="single"/>
        </w:rPr>
        <w:t xml:space="preserve">               </w:t>
      </w:r>
      <w:r>
        <w:rPr>
          <w:rFonts w:hint="eastAsia" w:ascii="宋体" w:hAnsi="宋体" w:eastAsia="宋体" w:cs="宋体"/>
          <w:color w:val="000000"/>
          <w:sz w:val="24"/>
          <w:szCs w:val="32"/>
          <w:highlight w:val="none"/>
        </w:rPr>
        <w:t xml:space="preserve">（加盖CA电子签章）</w:t>
      </w:r>
      <w:r>
        <w:rPr>
          <w:rFonts w:hint="eastAsia" w:ascii="宋体" w:hAnsi="宋体" w:eastAsia="宋体" w:cs="宋体"/>
          <w:color w:val="000000"/>
          <w:sz w:val="24"/>
          <w:szCs w:val="32"/>
          <w:highlight w:val="none"/>
        </w:rPr>
      </w:r>
      <w:r/>
    </w:p>
    <w:p>
      <w:pPr>
        <w:pStyle w:val="801"/>
        <w:ind w:firstLine="3840"/>
        <w:jc w:val="left"/>
        <w:rPr>
          <w:rFonts w:hint="eastAsia" w:ascii="宋体" w:hAnsi="宋体" w:eastAsia="宋体" w:cs="宋体"/>
          <w:color w:val="000000"/>
          <w:sz w:val="24"/>
          <w:highlight w:val="none"/>
        </w:rPr>
      </w:pPr>
      <w:r>
        <w:rPr>
          <w:rFonts w:hint="eastAsia" w:ascii="宋体" w:hAnsi="宋体" w:eastAsia="宋体" w:cs="宋体"/>
          <w:color w:val="000000"/>
          <w:sz w:val="24"/>
          <w:szCs w:val="32"/>
          <w:highlight w:val="none"/>
        </w:rPr>
        <w:t xml:space="preserve">日    期：</w:t>
      </w:r>
      <w:r>
        <w:rPr>
          <w:rFonts w:hint="eastAsia" w:ascii="宋体" w:hAnsi="宋体" w:eastAsia="宋体" w:cs="宋体"/>
          <w:color w:val="000000"/>
          <w:sz w:val="24"/>
          <w:szCs w:val="32"/>
          <w:highlight w:val="none"/>
          <w:u w:val="single"/>
        </w:rPr>
        <w:t xml:space="preserve">       </w:t>
      </w:r>
      <w:r>
        <w:rPr>
          <w:rFonts w:hint="eastAsia" w:ascii="宋体" w:hAnsi="宋体" w:eastAsia="宋体" w:cs="宋体"/>
          <w:color w:val="000000"/>
          <w:sz w:val="24"/>
          <w:szCs w:val="32"/>
          <w:highlight w:val="none"/>
        </w:rPr>
        <w:t xml:space="preserve">年</w:t>
      </w:r>
      <w:r>
        <w:rPr>
          <w:rFonts w:hint="eastAsia" w:ascii="宋体" w:hAnsi="宋体" w:eastAsia="宋体" w:cs="宋体"/>
          <w:color w:val="000000"/>
          <w:sz w:val="24"/>
          <w:szCs w:val="32"/>
          <w:highlight w:val="none"/>
          <w:u w:val="single"/>
        </w:rPr>
        <w:t xml:space="preserve">    </w:t>
      </w:r>
      <w:r>
        <w:rPr>
          <w:rFonts w:hint="eastAsia" w:ascii="宋体" w:hAnsi="宋体" w:eastAsia="宋体" w:cs="宋体"/>
          <w:color w:val="000000"/>
          <w:sz w:val="24"/>
          <w:szCs w:val="32"/>
          <w:highlight w:val="none"/>
        </w:rPr>
        <w:t xml:space="preserve">月</w:t>
      </w:r>
      <w:r>
        <w:rPr>
          <w:rFonts w:hint="eastAsia" w:ascii="宋体" w:hAnsi="宋体" w:eastAsia="宋体" w:cs="宋体"/>
          <w:color w:val="000000"/>
          <w:sz w:val="24"/>
          <w:szCs w:val="32"/>
          <w:highlight w:val="none"/>
          <w:u w:val="single"/>
        </w:rPr>
        <w:t xml:space="preserve">    </w:t>
      </w:r>
      <w:r>
        <w:rPr>
          <w:rFonts w:hint="eastAsia" w:ascii="宋体" w:hAnsi="宋体" w:eastAsia="宋体" w:cs="宋体"/>
          <w:color w:val="000000"/>
          <w:sz w:val="24"/>
          <w:szCs w:val="32"/>
          <w:highlight w:val="none"/>
        </w:rPr>
        <w:t xml:space="preserve">日</w:t>
      </w:r>
      <w:r>
        <w:rPr>
          <w:rFonts w:hint="eastAsia" w:ascii="宋体" w:hAnsi="宋体" w:eastAsia="宋体" w:cs="宋体"/>
          <w:color w:val="000000"/>
          <w:sz w:val="24"/>
          <w:highlight w:val="none"/>
        </w:rPr>
      </w:r>
      <w:r/>
    </w:p>
    <w:p>
      <w:pPr>
        <w:pStyle w:val="801"/>
        <w:jc w:val="center"/>
        <w:spacing w:line="400" w:lineRule="atLeas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801"/>
        <w:jc w:val="center"/>
        <w:spacing w:line="400" w:lineRule="atLeas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801"/>
        <w:jc w:val="center"/>
        <w:spacing w:line="400" w:lineRule="atLeast"/>
        <w:rPr>
          <w:rFonts w:hint="eastAsia" w:ascii="宋体" w:hAnsi="宋体" w:eastAsia="宋体" w:cs="宋体"/>
          <w:bCs/>
          <w:color w:val="000000"/>
          <w:sz w:val="27"/>
          <w:szCs w:val="27"/>
          <w:highlight w:val="none"/>
        </w:rPr>
      </w:pPr>
      <w:r>
        <w:rPr>
          <w:rFonts w:hint="eastAsia" w:ascii="宋体" w:hAnsi="宋体" w:eastAsia="宋体" w:cs="宋体"/>
          <w:bCs/>
          <w:color w:val="000000"/>
          <w:sz w:val="27"/>
          <w:szCs w:val="27"/>
          <w:highlight w:val="none"/>
        </w:rPr>
      </w:r>
      <w:r/>
    </w:p>
    <w:p>
      <w:pPr>
        <w:pStyle w:val="801"/>
        <w:jc w:val="center"/>
        <w:spacing w:line="400" w:lineRule="atLeast"/>
        <w:rPr>
          <w:rFonts w:hint="eastAsia" w:ascii="宋体" w:hAnsi="宋体" w:eastAsia="宋体" w:cs="宋体"/>
          <w:bCs/>
          <w:color w:val="000000"/>
          <w:sz w:val="27"/>
          <w:szCs w:val="27"/>
          <w:highlight w:val="none"/>
        </w:rPr>
      </w:pPr>
      <w:r>
        <w:rPr>
          <w:rFonts w:hint="eastAsia" w:ascii="宋体" w:hAnsi="宋体" w:eastAsia="宋体" w:cs="宋体"/>
          <w:bCs/>
          <w:color w:val="000000"/>
          <w:sz w:val="27"/>
          <w:szCs w:val="27"/>
          <w:highlight w:val="none"/>
        </w:rPr>
      </w:r>
      <w:r/>
    </w:p>
    <w:p>
      <w:pPr>
        <w:pStyle w:val="801"/>
        <w:jc w:val="center"/>
        <w:spacing w:line="400" w:lineRule="atLeast"/>
        <w:rPr>
          <w:rFonts w:hint="eastAsia" w:ascii="宋体" w:hAnsi="宋体" w:eastAsia="宋体" w:cs="宋体"/>
          <w:bCs/>
          <w:color w:val="000000"/>
          <w:sz w:val="27"/>
          <w:szCs w:val="27"/>
          <w:highlight w:val="none"/>
        </w:rPr>
      </w:pPr>
      <w:r>
        <w:rPr>
          <w:rFonts w:hint="eastAsia" w:ascii="宋体" w:hAnsi="宋体" w:eastAsia="宋体" w:cs="宋体"/>
          <w:bCs/>
          <w:color w:val="000000"/>
          <w:sz w:val="27"/>
          <w:szCs w:val="27"/>
          <w:highlight w:val="none"/>
        </w:rPr>
      </w:r>
      <w:r/>
    </w:p>
    <w:p>
      <w:pPr>
        <w:pStyle w:val="801"/>
        <w:jc w:val="center"/>
        <w:spacing w:line="400" w:lineRule="atLeast"/>
        <w:rPr>
          <w:rFonts w:hint="eastAsia" w:ascii="宋体" w:hAnsi="宋体" w:eastAsia="宋体" w:cs="宋体"/>
          <w:bCs/>
          <w:color w:val="000000"/>
          <w:sz w:val="27"/>
          <w:szCs w:val="27"/>
          <w:highlight w:val="none"/>
        </w:rPr>
      </w:pPr>
      <w:r>
        <w:rPr>
          <w:rFonts w:hint="eastAsia" w:ascii="宋体" w:hAnsi="宋体" w:eastAsia="宋体" w:cs="宋体"/>
          <w:bCs/>
          <w:color w:val="000000"/>
          <w:sz w:val="27"/>
          <w:szCs w:val="27"/>
          <w:highlight w:val="none"/>
        </w:rPr>
      </w:r>
      <w:r/>
    </w:p>
    <w:p>
      <w:pPr>
        <w:pStyle w:val="801"/>
        <w:jc w:val="center"/>
        <w:spacing w:line="400" w:lineRule="atLeast"/>
        <w:rPr>
          <w:rFonts w:hint="eastAsia" w:ascii="宋体" w:hAnsi="宋体" w:eastAsia="宋体" w:cs="宋体"/>
          <w:bCs/>
          <w:color w:val="000000"/>
          <w:sz w:val="27"/>
          <w:szCs w:val="27"/>
          <w:highlight w:val="none"/>
        </w:rPr>
      </w:pPr>
      <w:r>
        <w:rPr>
          <w:rFonts w:hint="eastAsia" w:ascii="宋体" w:hAnsi="宋体" w:eastAsia="宋体" w:cs="宋体"/>
          <w:bCs/>
          <w:color w:val="000000"/>
          <w:sz w:val="27"/>
          <w:szCs w:val="27"/>
          <w:highlight w:val="none"/>
        </w:rPr>
      </w:r>
      <w:r/>
    </w:p>
    <w:p>
      <w:pPr>
        <w:pStyle w:val="801"/>
        <w:jc w:val="center"/>
        <w:spacing w:line="400" w:lineRule="atLeast"/>
        <w:rPr>
          <w:rFonts w:hint="eastAsia" w:ascii="宋体" w:hAnsi="宋体" w:eastAsia="宋体" w:cs="宋体"/>
          <w:bCs/>
          <w:color w:val="000000"/>
          <w:sz w:val="27"/>
          <w:szCs w:val="27"/>
          <w:highlight w:val="none"/>
        </w:rPr>
      </w:pPr>
      <w:r>
        <w:rPr>
          <w:rFonts w:hint="eastAsia" w:ascii="宋体" w:hAnsi="宋体" w:eastAsia="宋体" w:cs="宋体"/>
          <w:bCs/>
          <w:color w:val="000000"/>
          <w:sz w:val="27"/>
          <w:szCs w:val="27"/>
          <w:highlight w:val="none"/>
        </w:rPr>
      </w:r>
      <w:r/>
    </w:p>
    <w:p>
      <w:pPr>
        <w:pStyle w:val="824"/>
        <w:ind w:left="0"/>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pStyle w:val="801"/>
        <w:rPr>
          <w:rFonts w:hint="eastAsia" w:ascii="宋体" w:hAnsi="宋体" w:eastAsia="宋体" w:cs="宋体"/>
          <w:b/>
          <w:color w:val="000000"/>
          <w:highlight w:val="none"/>
        </w:rPr>
      </w:pPr>
      <w:r>
        <w:rPr>
          <w:rFonts w:hint="eastAsia" w:ascii="宋体" w:hAnsi="宋体" w:eastAsia="宋体" w:cs="宋体"/>
          <w:b/>
          <w:color w:val="000000"/>
          <w:highlight w:val="none"/>
        </w:rPr>
      </w:r>
      <w:r/>
    </w:p>
    <w:p>
      <w:pPr>
        <w:pStyle w:val="801"/>
        <w:rPr>
          <w:rFonts w:hint="eastAsia" w:ascii="宋体" w:hAnsi="宋体" w:eastAsia="宋体" w:cs="宋体"/>
          <w:b/>
          <w:color w:val="000000"/>
          <w:highlight w:val="none"/>
        </w:rPr>
      </w:pPr>
      <w:r>
        <w:rPr>
          <w:rFonts w:hint="eastAsia" w:ascii="宋体" w:hAnsi="宋体" w:eastAsia="宋体" w:cs="宋体"/>
          <w:b/>
          <w:color w:val="000000"/>
          <w:highlight w:val="none"/>
        </w:rPr>
      </w:r>
      <w:r/>
    </w:p>
    <w:p>
      <w:pPr>
        <w:pStyle w:val="801"/>
        <w:jc w:val="center"/>
        <w:keepLines w:val="0"/>
        <w:keepNext w:val="0"/>
        <w:pageBreakBefore w:val="0"/>
        <w:spacing w:line="360" w:lineRule="auto"/>
        <w:widowControl w:val="off"/>
        <w:rPr>
          <w:rFonts w:hint="eastAsia" w:ascii="宋体" w:hAnsi="宋体" w:eastAsia="宋体" w:cs="宋体"/>
          <w:color w:val="000000"/>
          <w:sz w:val="28"/>
          <w:szCs w:val="28"/>
          <w:highlight w:val="none"/>
        </w:rPr>
        <w:outlineLvl w:val="2"/>
      </w:pPr>
      <w:r>
        <w:rPr>
          <w:rFonts w:hint="eastAsia" w:ascii="宋体" w:hAnsi="宋体" w:eastAsia="宋体" w:cs="宋体"/>
          <w:color w:val="000000"/>
          <w:sz w:val="24"/>
          <w:highlight w:val="none"/>
        </w:rPr>
        <w:br w:type="page" w:clear="all"/>
      </w:r>
      <w:bookmarkStart w:id="188" w:name="_Toc432244529"/>
      <w:r/>
      <w:bookmarkStart w:id="189" w:name="_Toc211090873"/>
      <w:r/>
      <w:bookmarkStart w:id="190" w:name="_Toc503901980"/>
      <w:r/>
      <w:bookmarkStart w:id="191" w:name="_Toc503307478"/>
      <w:r>
        <w:rPr>
          <w:rFonts w:hint="eastAsia" w:ascii="宋体" w:hAnsi="宋体" w:eastAsia="宋体" w:cs="宋体"/>
          <w:b/>
          <w:color w:val="000000"/>
          <w:sz w:val="30"/>
          <w:szCs w:val="30"/>
          <w:highlight w:val="none"/>
        </w:rPr>
        <w:t xml:space="preserve">三、</w:t>
      </w:r>
      <w:bookmarkEnd w:id="187"/>
      <w:r/>
      <w:bookmarkEnd w:id="188"/>
      <w:r/>
      <w:bookmarkEnd w:id="189"/>
      <w:r/>
      <w:bookmarkEnd w:id="190"/>
      <w:r/>
      <w:bookmarkEnd w:id="191"/>
      <w:r/>
      <w:bookmarkStart w:id="192" w:name="_Toc432244532"/>
      <w:r/>
      <w:bookmarkStart w:id="193" w:name="_Toc503307480"/>
      <w:r/>
      <w:bookmarkStart w:id="194" w:name="_Toc503901982"/>
      <w:r>
        <w:rPr>
          <w:rFonts w:hint="eastAsia" w:ascii="宋体" w:hAnsi="宋体" w:eastAsia="宋体" w:cs="宋体"/>
          <w:b/>
          <w:color w:val="000000"/>
          <w:sz w:val="30"/>
          <w:szCs w:val="30"/>
          <w:highlight w:val="none"/>
        </w:rPr>
        <w:t xml:space="preserve">全费用工程量清单投标报价单</w:t>
      </w:r>
      <w:r>
        <w:rPr>
          <w:rFonts w:hint="eastAsia" w:ascii="宋体" w:hAnsi="宋体" w:eastAsia="宋体" w:cs="宋体"/>
          <w:color w:val="000000"/>
          <w:sz w:val="28"/>
          <w:szCs w:val="28"/>
          <w:highlight w:val="none"/>
        </w:rPr>
      </w:r>
      <w:r/>
    </w:p>
    <w:tbl>
      <w:tblPr>
        <w:tblW w:w="9211" w:type="dxa"/>
        <w:tblInd w:w="-108" w:type="dxa"/>
        <w:tblLayout w:type="fixed"/>
        <w:tblCellMar>
          <w:left w:w="108" w:type="dxa"/>
          <w:top w:w="0" w:type="dxa"/>
          <w:right w:w="108" w:type="dxa"/>
          <w:bottom w:w="0" w:type="dxa"/>
        </w:tblCellMar>
        <w:tblLook w:val="04A0" w:firstRow="1" w:lastRow="0" w:firstColumn="1" w:lastColumn="0" w:noHBand="0" w:noVBand="1"/>
      </w:tblPr>
      <w:tblGrid>
        <w:gridCol w:w="557"/>
        <w:gridCol w:w="1787"/>
        <w:gridCol w:w="3106"/>
        <w:gridCol w:w="560"/>
        <w:gridCol w:w="827"/>
        <w:gridCol w:w="1334"/>
        <w:gridCol w:w="1040"/>
      </w:tblGrid>
      <w:tr>
        <w:trPr>
          <w:cantSplit/>
          <w:trHeight w:val="567"/>
        </w:trPr>
        <w:tc>
          <w:tcPr>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pStyle w:val="801"/>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序号</w:t>
            </w: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val="false"/>
          </w:tcPr>
          <w:p>
            <w:pPr>
              <w:pStyle w:val="801"/>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项目名称</w:t>
            </w: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106" w:type="dxa"/>
            <w:vAlign w:val="center"/>
            <w:textDirection w:val="lrTb"/>
            <w:noWrap w:val="false"/>
          </w:tcPr>
          <w:p>
            <w:pPr>
              <w:pStyle w:val="801"/>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特征描述</w:t>
            </w: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560" w:type="dxa"/>
            <w:vAlign w:val="center"/>
            <w:textDirection w:val="lrTb"/>
            <w:noWrap w:val="false"/>
          </w:tcPr>
          <w:p>
            <w:pPr>
              <w:pStyle w:val="801"/>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单位</w:t>
            </w: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pStyle w:val="801"/>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工程</w:t>
            </w:r>
            <w:r>
              <w:rPr>
                <w:rFonts w:hint="eastAsia" w:ascii="宋体" w:hAnsi="宋体" w:eastAsia="宋体" w:cs="宋体"/>
                <w:color w:val="000000"/>
                <w:sz w:val="24"/>
                <w:highlight w:val="none"/>
              </w:rPr>
              <w:t xml:space="preserve">数量</w:t>
            </w: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val="false"/>
          </w:tcPr>
          <w:p>
            <w:pPr>
              <w:pStyle w:val="801"/>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综合单价</w:t>
            </w:r>
            <w:r>
              <w:rPr>
                <w:rFonts w:hint="eastAsia" w:ascii="宋体" w:hAnsi="宋体" w:eastAsia="宋体" w:cs="宋体"/>
                <w:color w:val="000000"/>
                <w:sz w:val="24"/>
                <w:highlight w:val="none"/>
              </w:rPr>
            </w:r>
            <w:r/>
          </w:p>
          <w:p>
            <w:pPr>
              <w:pStyle w:val="801"/>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（元）</w:t>
            </w: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pStyle w:val="801"/>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合价</w:t>
            </w:r>
            <w:r>
              <w:rPr>
                <w:rFonts w:hint="eastAsia" w:ascii="宋体" w:hAnsi="宋体" w:eastAsia="宋体" w:cs="宋体"/>
                <w:color w:val="000000"/>
                <w:sz w:val="24"/>
                <w:highlight w:val="none"/>
              </w:rPr>
            </w:r>
            <w:r/>
          </w:p>
          <w:p>
            <w:pPr>
              <w:pStyle w:val="801"/>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（元）</w:t>
            </w:r>
            <w:r>
              <w:rPr>
                <w:rFonts w:hint="eastAsia" w:ascii="宋体" w:hAnsi="宋体" w:eastAsia="宋体" w:cs="宋体"/>
                <w:color w:val="000000"/>
                <w:sz w:val="24"/>
                <w:highlight w:val="none"/>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pStyle w:val="801"/>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val="false"/>
          </w:tcPr>
          <w:p>
            <w:pPr>
              <w:pStyle w:val="801"/>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106" w:type="dxa"/>
            <w:vAlign w:val="center"/>
            <w:textDirection w:val="lrTb"/>
            <w:noWrap w:val="false"/>
          </w:tcPr>
          <w:p>
            <w:pPr>
              <w:pStyle w:val="801"/>
              <w:jc w:val="left"/>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560" w:type="dxa"/>
            <w:vAlign w:val="center"/>
            <w:textDirection w:val="lrTb"/>
            <w:noWrap w:val="false"/>
          </w:tcPr>
          <w:p>
            <w:pPr>
              <w:pStyle w:val="801"/>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pStyle w:val="801"/>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val="false"/>
          </w:tcPr>
          <w:p>
            <w:pPr>
              <w:pStyle w:val="801"/>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pStyle w:val="801"/>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pStyle w:val="801"/>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val="false"/>
          </w:tcPr>
          <w:p>
            <w:pPr>
              <w:pStyle w:val="801"/>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106" w:type="dxa"/>
            <w:vAlign w:val="center"/>
            <w:textDirection w:val="lrTb"/>
            <w:noWrap w:val="false"/>
          </w:tcPr>
          <w:p>
            <w:pPr>
              <w:pStyle w:val="801"/>
              <w:jc w:val="left"/>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560" w:type="dxa"/>
            <w:vAlign w:val="center"/>
            <w:textDirection w:val="lrTb"/>
            <w:noWrap w:val="false"/>
          </w:tcPr>
          <w:p>
            <w:pPr>
              <w:pStyle w:val="801"/>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pStyle w:val="801"/>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val="false"/>
          </w:tcPr>
          <w:p>
            <w:pPr>
              <w:pStyle w:val="801"/>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pStyle w:val="801"/>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pStyle w:val="801"/>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w:t>
            </w: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val="false"/>
          </w:tcPr>
          <w:p>
            <w:pPr>
              <w:pStyle w:val="801"/>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106" w:type="dxa"/>
            <w:vAlign w:val="center"/>
            <w:textDirection w:val="lrTb"/>
            <w:noWrap w:val="false"/>
          </w:tcPr>
          <w:p>
            <w:pPr>
              <w:pStyle w:val="801"/>
              <w:jc w:val="left"/>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560" w:type="dxa"/>
            <w:vAlign w:val="center"/>
            <w:textDirection w:val="lrTb"/>
            <w:noWrap w:val="false"/>
          </w:tcPr>
          <w:p>
            <w:pPr>
              <w:pStyle w:val="801"/>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pStyle w:val="801"/>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val="false"/>
          </w:tcPr>
          <w:p>
            <w:pPr>
              <w:pStyle w:val="801"/>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pStyle w:val="801"/>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pStyle w:val="801"/>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w:t>
            </w: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val="false"/>
          </w:tcPr>
          <w:p>
            <w:pPr>
              <w:pStyle w:val="801"/>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106" w:type="dxa"/>
            <w:vAlign w:val="center"/>
            <w:textDirection w:val="lrTb"/>
            <w:noWrap w:val="false"/>
          </w:tcPr>
          <w:p>
            <w:pPr>
              <w:pStyle w:val="801"/>
              <w:jc w:val="left"/>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560" w:type="dxa"/>
            <w:vAlign w:val="center"/>
            <w:textDirection w:val="lrTb"/>
            <w:noWrap w:val="false"/>
          </w:tcPr>
          <w:p>
            <w:pPr>
              <w:pStyle w:val="801"/>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pStyle w:val="801"/>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val="false"/>
          </w:tcPr>
          <w:p>
            <w:pPr>
              <w:pStyle w:val="801"/>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pStyle w:val="801"/>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pStyle w:val="801"/>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w:t>
            </w: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val="false"/>
          </w:tcPr>
          <w:p>
            <w:pPr>
              <w:pStyle w:val="801"/>
              <w:jc w:val="left"/>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106" w:type="dxa"/>
            <w:vAlign w:val="center"/>
            <w:textDirection w:val="lrTb"/>
            <w:noWrap w:val="false"/>
          </w:tcPr>
          <w:p>
            <w:pPr>
              <w:pStyle w:val="801"/>
              <w:jc w:val="left"/>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pStyle w:val="801"/>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pStyle w:val="801"/>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tcPr>
          <w:p>
            <w:pPr>
              <w:pStyle w:val="801"/>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pStyle w:val="801"/>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pStyle w:val="801"/>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w:t>
            </w: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val="false"/>
          </w:tcPr>
          <w:p>
            <w:pPr>
              <w:pStyle w:val="801"/>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106" w:type="dxa"/>
            <w:vAlign w:val="center"/>
            <w:textDirection w:val="lrTb"/>
            <w:noWrap w:val="false"/>
          </w:tcPr>
          <w:p>
            <w:pPr>
              <w:pStyle w:val="801"/>
              <w:jc w:val="left"/>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pStyle w:val="801"/>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pStyle w:val="801"/>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tcPr>
          <w:p>
            <w:pPr>
              <w:pStyle w:val="801"/>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pStyle w:val="801"/>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pStyle w:val="801"/>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w:t>
            </w: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tcPr>
          <w:p>
            <w:pPr>
              <w:pStyle w:val="801"/>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106" w:type="dxa"/>
            <w:vAlign w:val="center"/>
            <w:textDirection w:val="lrTb"/>
            <w:noWrap w:val="false"/>
          </w:tcPr>
          <w:p>
            <w:pPr>
              <w:pStyle w:val="801"/>
              <w:jc w:val="left"/>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pStyle w:val="801"/>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pStyle w:val="801"/>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tcPr>
          <w:p>
            <w:pPr>
              <w:pStyle w:val="801"/>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pStyle w:val="801"/>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pStyle w:val="801"/>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8</w:t>
            </w: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tcPr>
          <w:p>
            <w:pPr>
              <w:pStyle w:val="801"/>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106" w:type="dxa"/>
            <w:vAlign w:val="center"/>
            <w:textDirection w:val="lrTb"/>
            <w:noWrap w:val="false"/>
          </w:tcPr>
          <w:p>
            <w:pPr>
              <w:pStyle w:val="801"/>
              <w:jc w:val="left"/>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pStyle w:val="801"/>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pStyle w:val="801"/>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tcPr>
          <w:p>
            <w:pPr>
              <w:pStyle w:val="801"/>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pStyle w:val="801"/>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pStyle w:val="801"/>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9</w:t>
            </w: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tcPr>
          <w:p>
            <w:pPr>
              <w:pStyle w:val="801"/>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106" w:type="dxa"/>
            <w:vAlign w:val="center"/>
            <w:textDirection w:val="lrTb"/>
            <w:noWrap w:val="false"/>
          </w:tcPr>
          <w:p>
            <w:pPr>
              <w:pStyle w:val="801"/>
              <w:jc w:val="left"/>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pStyle w:val="801"/>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pStyle w:val="801"/>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tcPr>
          <w:p>
            <w:pPr>
              <w:pStyle w:val="801"/>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pStyle w:val="801"/>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pStyle w:val="801"/>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10</w:t>
            </w: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tcPr>
          <w:p>
            <w:pPr>
              <w:pStyle w:val="801"/>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106" w:type="dxa"/>
            <w:vAlign w:val="center"/>
            <w:textDirection w:val="lrTb"/>
            <w:noWrap w:val="false"/>
          </w:tcPr>
          <w:p>
            <w:pPr>
              <w:pStyle w:val="801"/>
              <w:jc w:val="left"/>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pStyle w:val="801"/>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pStyle w:val="801"/>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tcPr>
          <w:p>
            <w:pPr>
              <w:pStyle w:val="801"/>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pStyle w:val="801"/>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pStyle w:val="801"/>
              <w:jc w:val="center"/>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val="false"/>
          </w:tcPr>
          <w:p>
            <w:pPr>
              <w:pStyle w:val="801"/>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106" w:type="dxa"/>
            <w:vAlign w:val="center"/>
            <w:textDirection w:val="lrTb"/>
            <w:noWrap w:val="false"/>
          </w:tcPr>
          <w:p>
            <w:pPr>
              <w:pStyle w:val="801"/>
              <w:jc w:val="left"/>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560" w:type="dxa"/>
            <w:vAlign w:val="center"/>
            <w:textDirection w:val="lrTb"/>
            <w:noWrap w:val="false"/>
          </w:tcPr>
          <w:p>
            <w:pPr>
              <w:pStyle w:val="801"/>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pStyle w:val="801"/>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val="false"/>
          </w:tcPr>
          <w:p>
            <w:pPr>
              <w:pStyle w:val="801"/>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pStyle w:val="801"/>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pStyle w:val="801"/>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val="false"/>
          </w:tcPr>
          <w:p>
            <w:pPr>
              <w:pStyle w:val="801"/>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106" w:type="dxa"/>
            <w:vAlign w:val="center"/>
            <w:textDirection w:val="lrTb"/>
            <w:noWrap w:val="false"/>
          </w:tcPr>
          <w:p>
            <w:pPr>
              <w:pStyle w:val="801"/>
              <w:jc w:val="left"/>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560" w:type="dxa"/>
            <w:vAlign w:val="center"/>
            <w:textDirection w:val="lrTb"/>
            <w:noWrap w:val="false"/>
          </w:tcPr>
          <w:p>
            <w:pPr>
              <w:pStyle w:val="801"/>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pStyle w:val="801"/>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val="false"/>
          </w:tcPr>
          <w:p>
            <w:pPr>
              <w:pStyle w:val="801"/>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pStyle w:val="801"/>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pStyle w:val="801"/>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rPr>
              <w:t xml:space="preserve">3</w:t>
            </w: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val="false"/>
          </w:tcPr>
          <w:p>
            <w:pPr>
              <w:pStyle w:val="801"/>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106" w:type="dxa"/>
            <w:vAlign w:val="center"/>
            <w:textDirection w:val="lrTb"/>
            <w:noWrap w:val="false"/>
          </w:tcPr>
          <w:p>
            <w:pPr>
              <w:pStyle w:val="801"/>
              <w:jc w:val="left"/>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560" w:type="dxa"/>
            <w:vAlign w:val="center"/>
            <w:textDirection w:val="lrTb"/>
            <w:noWrap w:val="false"/>
          </w:tcPr>
          <w:p>
            <w:pPr>
              <w:pStyle w:val="801"/>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pStyle w:val="801"/>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val="false"/>
          </w:tcPr>
          <w:p>
            <w:pPr>
              <w:pStyle w:val="801"/>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pStyle w:val="801"/>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pStyle w:val="801"/>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rPr>
              <w:t xml:space="preserve">4</w:t>
            </w: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val="false"/>
          </w:tcPr>
          <w:p>
            <w:pPr>
              <w:pStyle w:val="801"/>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106" w:type="dxa"/>
            <w:vAlign w:val="center"/>
            <w:textDirection w:val="lrTb"/>
            <w:noWrap w:val="false"/>
          </w:tcPr>
          <w:p>
            <w:pPr>
              <w:pStyle w:val="801"/>
              <w:jc w:val="left"/>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560" w:type="dxa"/>
            <w:vAlign w:val="center"/>
            <w:textDirection w:val="lrTb"/>
            <w:noWrap w:val="false"/>
          </w:tcPr>
          <w:p>
            <w:pPr>
              <w:pStyle w:val="801"/>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pStyle w:val="801"/>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val="false"/>
          </w:tcPr>
          <w:p>
            <w:pPr>
              <w:pStyle w:val="801"/>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pStyle w:val="801"/>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pStyle w:val="801"/>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rPr>
              <w:t xml:space="preserve">5</w:t>
            </w: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val="false"/>
          </w:tcPr>
          <w:p>
            <w:pPr>
              <w:pStyle w:val="801"/>
              <w:jc w:val="left"/>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106" w:type="dxa"/>
            <w:vAlign w:val="center"/>
            <w:textDirection w:val="lrTb"/>
            <w:noWrap w:val="false"/>
          </w:tcPr>
          <w:p>
            <w:pPr>
              <w:pStyle w:val="801"/>
              <w:jc w:val="left"/>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pStyle w:val="801"/>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pStyle w:val="801"/>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tcPr>
          <w:p>
            <w:pPr>
              <w:pStyle w:val="801"/>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pStyle w:val="801"/>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pStyle w:val="801"/>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rPr>
              <w:t xml:space="preserve">6</w:t>
            </w: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val="false"/>
          </w:tcPr>
          <w:p>
            <w:pPr>
              <w:pStyle w:val="801"/>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106" w:type="dxa"/>
            <w:vAlign w:val="center"/>
            <w:textDirection w:val="lrTb"/>
            <w:noWrap w:val="false"/>
          </w:tcPr>
          <w:p>
            <w:pPr>
              <w:pStyle w:val="801"/>
              <w:jc w:val="left"/>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pStyle w:val="801"/>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pStyle w:val="801"/>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tcPr>
          <w:p>
            <w:pPr>
              <w:pStyle w:val="801"/>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pStyle w:val="801"/>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pStyle w:val="801"/>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rPr>
              <w:t xml:space="preserve">7</w:t>
            </w: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tcPr>
          <w:p>
            <w:pPr>
              <w:pStyle w:val="801"/>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106" w:type="dxa"/>
            <w:vAlign w:val="center"/>
            <w:textDirection w:val="lrTb"/>
            <w:noWrap w:val="false"/>
          </w:tcPr>
          <w:p>
            <w:pPr>
              <w:pStyle w:val="801"/>
              <w:jc w:val="left"/>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pStyle w:val="801"/>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pStyle w:val="801"/>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tcPr>
          <w:p>
            <w:pPr>
              <w:pStyle w:val="801"/>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pStyle w:val="801"/>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pStyle w:val="801"/>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rPr>
              <w:t xml:space="preserve">8</w:t>
            </w: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tcPr>
          <w:p>
            <w:pPr>
              <w:pStyle w:val="801"/>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106" w:type="dxa"/>
            <w:vAlign w:val="center"/>
            <w:textDirection w:val="lrTb"/>
            <w:noWrap w:val="false"/>
          </w:tcPr>
          <w:p>
            <w:pPr>
              <w:pStyle w:val="801"/>
              <w:jc w:val="left"/>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pStyle w:val="801"/>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pStyle w:val="801"/>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tcPr>
          <w:p>
            <w:pPr>
              <w:pStyle w:val="801"/>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pStyle w:val="801"/>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pStyle w:val="801"/>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rPr>
              <w:t xml:space="preserve">9</w:t>
            </w: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tcPr>
          <w:p>
            <w:pPr>
              <w:pStyle w:val="801"/>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106" w:type="dxa"/>
            <w:vAlign w:val="center"/>
            <w:textDirection w:val="lrTb"/>
            <w:noWrap w:val="false"/>
          </w:tcPr>
          <w:p>
            <w:pPr>
              <w:pStyle w:val="801"/>
              <w:jc w:val="left"/>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pStyle w:val="801"/>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pStyle w:val="801"/>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tcPr>
          <w:p>
            <w:pPr>
              <w:pStyle w:val="801"/>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pStyle w:val="801"/>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pStyle w:val="801"/>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0</w:t>
            </w: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tcPr>
          <w:p>
            <w:pPr>
              <w:pStyle w:val="801"/>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106" w:type="dxa"/>
            <w:vAlign w:val="center"/>
            <w:textDirection w:val="lrTb"/>
            <w:noWrap w:val="false"/>
          </w:tcPr>
          <w:p>
            <w:pPr>
              <w:pStyle w:val="801"/>
              <w:jc w:val="left"/>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pStyle w:val="801"/>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pStyle w:val="801"/>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tcPr>
          <w:p>
            <w:pPr>
              <w:pStyle w:val="801"/>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pStyle w:val="801"/>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pStyle w:val="801"/>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val="false"/>
          </w:tcPr>
          <w:p>
            <w:pPr>
              <w:pStyle w:val="801"/>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106" w:type="dxa"/>
            <w:vAlign w:val="center"/>
            <w:textDirection w:val="lrTb"/>
            <w:noWrap w:val="false"/>
          </w:tcPr>
          <w:p>
            <w:pPr>
              <w:pStyle w:val="801"/>
              <w:jc w:val="left"/>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560" w:type="dxa"/>
            <w:vAlign w:val="center"/>
            <w:textDirection w:val="lrTb"/>
            <w:noWrap w:val="false"/>
          </w:tcPr>
          <w:p>
            <w:pPr>
              <w:pStyle w:val="801"/>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pStyle w:val="801"/>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val="false"/>
          </w:tcPr>
          <w:p>
            <w:pPr>
              <w:pStyle w:val="801"/>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pStyle w:val="801"/>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pStyle w:val="801"/>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val="false"/>
          </w:tcPr>
          <w:p>
            <w:pPr>
              <w:pStyle w:val="801"/>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106" w:type="dxa"/>
            <w:vAlign w:val="center"/>
            <w:textDirection w:val="lrTb"/>
            <w:noWrap w:val="false"/>
          </w:tcPr>
          <w:p>
            <w:pPr>
              <w:pStyle w:val="801"/>
              <w:jc w:val="left"/>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560" w:type="dxa"/>
            <w:vAlign w:val="center"/>
            <w:textDirection w:val="lrTb"/>
            <w:noWrap w:val="false"/>
          </w:tcPr>
          <w:p>
            <w:pPr>
              <w:pStyle w:val="801"/>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pStyle w:val="801"/>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val="false"/>
          </w:tcPr>
          <w:p>
            <w:pPr>
              <w:pStyle w:val="801"/>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pStyle w:val="801"/>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pStyle w:val="801"/>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3</w:t>
            </w: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val="false"/>
          </w:tcPr>
          <w:p>
            <w:pPr>
              <w:pStyle w:val="801"/>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106" w:type="dxa"/>
            <w:vAlign w:val="center"/>
            <w:textDirection w:val="lrTb"/>
            <w:noWrap w:val="false"/>
          </w:tcPr>
          <w:p>
            <w:pPr>
              <w:pStyle w:val="801"/>
              <w:jc w:val="left"/>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560" w:type="dxa"/>
            <w:vAlign w:val="center"/>
            <w:textDirection w:val="lrTb"/>
            <w:noWrap w:val="false"/>
          </w:tcPr>
          <w:p>
            <w:pPr>
              <w:pStyle w:val="801"/>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pStyle w:val="801"/>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val="false"/>
          </w:tcPr>
          <w:p>
            <w:pPr>
              <w:pStyle w:val="801"/>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pStyle w:val="801"/>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pStyle w:val="801"/>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4</w:t>
            </w: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val="false"/>
          </w:tcPr>
          <w:p>
            <w:pPr>
              <w:pStyle w:val="801"/>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106" w:type="dxa"/>
            <w:vAlign w:val="center"/>
            <w:textDirection w:val="lrTb"/>
            <w:noWrap w:val="false"/>
          </w:tcPr>
          <w:p>
            <w:pPr>
              <w:pStyle w:val="801"/>
              <w:jc w:val="left"/>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560" w:type="dxa"/>
            <w:vAlign w:val="center"/>
            <w:textDirection w:val="lrTb"/>
            <w:noWrap w:val="false"/>
          </w:tcPr>
          <w:p>
            <w:pPr>
              <w:pStyle w:val="801"/>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pStyle w:val="801"/>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val="false"/>
          </w:tcPr>
          <w:p>
            <w:pPr>
              <w:pStyle w:val="801"/>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pStyle w:val="801"/>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pStyle w:val="801"/>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5</w:t>
            </w: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val="false"/>
          </w:tcPr>
          <w:p>
            <w:pPr>
              <w:pStyle w:val="801"/>
              <w:jc w:val="left"/>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106" w:type="dxa"/>
            <w:vAlign w:val="center"/>
            <w:textDirection w:val="lrTb"/>
            <w:noWrap w:val="false"/>
          </w:tcPr>
          <w:p>
            <w:pPr>
              <w:pStyle w:val="801"/>
              <w:jc w:val="left"/>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pStyle w:val="801"/>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pStyle w:val="801"/>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tcPr>
          <w:p>
            <w:pPr>
              <w:pStyle w:val="801"/>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pStyle w:val="801"/>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pStyle w:val="801"/>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6</w:t>
            </w: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val="false"/>
          </w:tcPr>
          <w:p>
            <w:pPr>
              <w:pStyle w:val="801"/>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106" w:type="dxa"/>
            <w:vAlign w:val="center"/>
            <w:textDirection w:val="lrTb"/>
            <w:noWrap w:val="false"/>
          </w:tcPr>
          <w:p>
            <w:pPr>
              <w:pStyle w:val="801"/>
              <w:jc w:val="left"/>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pStyle w:val="801"/>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pStyle w:val="801"/>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tcPr>
          <w:p>
            <w:pPr>
              <w:pStyle w:val="801"/>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pStyle w:val="801"/>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pStyle w:val="801"/>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7</w:t>
            </w: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tcPr>
          <w:p>
            <w:pPr>
              <w:pStyle w:val="801"/>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106" w:type="dxa"/>
            <w:vAlign w:val="center"/>
            <w:textDirection w:val="lrTb"/>
            <w:noWrap w:val="false"/>
          </w:tcPr>
          <w:p>
            <w:pPr>
              <w:pStyle w:val="801"/>
              <w:jc w:val="left"/>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pStyle w:val="801"/>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pStyle w:val="801"/>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tcPr>
          <w:p>
            <w:pPr>
              <w:pStyle w:val="801"/>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pStyle w:val="801"/>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pStyle w:val="801"/>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8</w:t>
            </w: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tcPr>
          <w:p>
            <w:pPr>
              <w:pStyle w:val="801"/>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106" w:type="dxa"/>
            <w:vAlign w:val="center"/>
            <w:textDirection w:val="lrTb"/>
            <w:noWrap w:val="false"/>
          </w:tcPr>
          <w:p>
            <w:pPr>
              <w:pStyle w:val="801"/>
              <w:jc w:val="left"/>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pStyle w:val="801"/>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pStyle w:val="801"/>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tcPr>
          <w:p>
            <w:pPr>
              <w:pStyle w:val="801"/>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pStyle w:val="801"/>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pStyle w:val="801"/>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9</w:t>
            </w: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tcPr>
          <w:p>
            <w:pPr>
              <w:pStyle w:val="801"/>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106" w:type="dxa"/>
            <w:vAlign w:val="center"/>
            <w:textDirection w:val="lrTb"/>
            <w:noWrap w:val="false"/>
          </w:tcPr>
          <w:p>
            <w:pPr>
              <w:pStyle w:val="801"/>
              <w:jc w:val="left"/>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pStyle w:val="801"/>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pStyle w:val="801"/>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tcPr>
          <w:p>
            <w:pPr>
              <w:pStyle w:val="801"/>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pStyle w:val="801"/>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pStyle w:val="801"/>
              <w:jc w:val="center"/>
              <w:spacing w:line="240" w:lineRule="auto"/>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30</w:t>
            </w:r>
            <w:r>
              <w:rPr>
                <w:rFonts w:ascii="宋体" w:hAnsi="宋体" w:eastAsia="宋体" w:cs="宋体"/>
                <w:color w:val="000000"/>
                <w:sz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tcPr>
          <w:p>
            <w:pPr>
              <w:pStyle w:val="801"/>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106" w:type="dxa"/>
            <w:vAlign w:val="center"/>
            <w:textDirection w:val="lrTb"/>
            <w:noWrap w:val="false"/>
          </w:tcPr>
          <w:p>
            <w:pPr>
              <w:pStyle w:val="801"/>
              <w:jc w:val="left"/>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pStyle w:val="801"/>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pStyle w:val="801"/>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tcPr>
          <w:p>
            <w:pPr>
              <w:pStyle w:val="801"/>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pStyle w:val="801"/>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pStyle w:val="801"/>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val="false"/>
          </w:tcPr>
          <w:p>
            <w:pPr>
              <w:pStyle w:val="801"/>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106" w:type="dxa"/>
            <w:vAlign w:val="center"/>
            <w:textDirection w:val="lrTb"/>
            <w:noWrap w:val="false"/>
          </w:tcPr>
          <w:p>
            <w:pPr>
              <w:pStyle w:val="801"/>
              <w:jc w:val="left"/>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560" w:type="dxa"/>
            <w:vAlign w:val="center"/>
            <w:textDirection w:val="lrTb"/>
            <w:noWrap w:val="false"/>
          </w:tcPr>
          <w:p>
            <w:pPr>
              <w:pStyle w:val="801"/>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pStyle w:val="801"/>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val="false"/>
          </w:tcPr>
          <w:p>
            <w:pPr>
              <w:pStyle w:val="801"/>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pStyle w:val="801"/>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pStyle w:val="801"/>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val="false"/>
          </w:tcPr>
          <w:p>
            <w:pPr>
              <w:pStyle w:val="801"/>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106" w:type="dxa"/>
            <w:vAlign w:val="center"/>
            <w:textDirection w:val="lrTb"/>
            <w:noWrap w:val="false"/>
          </w:tcPr>
          <w:p>
            <w:pPr>
              <w:pStyle w:val="801"/>
              <w:jc w:val="left"/>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560" w:type="dxa"/>
            <w:vAlign w:val="center"/>
            <w:textDirection w:val="lrTb"/>
            <w:noWrap w:val="false"/>
          </w:tcPr>
          <w:p>
            <w:pPr>
              <w:pStyle w:val="801"/>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pStyle w:val="801"/>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val="false"/>
          </w:tcPr>
          <w:p>
            <w:pPr>
              <w:pStyle w:val="801"/>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pStyle w:val="801"/>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pStyle w:val="801"/>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3</w:t>
            </w: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val="false"/>
          </w:tcPr>
          <w:p>
            <w:pPr>
              <w:pStyle w:val="801"/>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106" w:type="dxa"/>
            <w:vAlign w:val="center"/>
            <w:textDirection w:val="lrTb"/>
            <w:noWrap w:val="false"/>
          </w:tcPr>
          <w:p>
            <w:pPr>
              <w:pStyle w:val="801"/>
              <w:jc w:val="left"/>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560" w:type="dxa"/>
            <w:vAlign w:val="center"/>
            <w:textDirection w:val="lrTb"/>
            <w:noWrap w:val="false"/>
          </w:tcPr>
          <w:p>
            <w:pPr>
              <w:pStyle w:val="801"/>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pStyle w:val="801"/>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val="false"/>
          </w:tcPr>
          <w:p>
            <w:pPr>
              <w:pStyle w:val="801"/>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pStyle w:val="801"/>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pStyle w:val="801"/>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4</w:t>
            </w: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val="false"/>
          </w:tcPr>
          <w:p>
            <w:pPr>
              <w:pStyle w:val="801"/>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106" w:type="dxa"/>
            <w:vAlign w:val="center"/>
            <w:textDirection w:val="lrTb"/>
            <w:noWrap w:val="false"/>
          </w:tcPr>
          <w:p>
            <w:pPr>
              <w:pStyle w:val="801"/>
              <w:jc w:val="left"/>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560" w:type="dxa"/>
            <w:vAlign w:val="center"/>
            <w:textDirection w:val="lrTb"/>
            <w:noWrap w:val="false"/>
          </w:tcPr>
          <w:p>
            <w:pPr>
              <w:pStyle w:val="801"/>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pStyle w:val="801"/>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val="false"/>
          </w:tcPr>
          <w:p>
            <w:pPr>
              <w:pStyle w:val="801"/>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pStyle w:val="801"/>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pStyle w:val="801"/>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5</w:t>
            </w: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val="false"/>
          </w:tcPr>
          <w:p>
            <w:pPr>
              <w:pStyle w:val="801"/>
              <w:jc w:val="left"/>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106" w:type="dxa"/>
            <w:vAlign w:val="center"/>
            <w:textDirection w:val="lrTb"/>
            <w:noWrap w:val="false"/>
          </w:tcPr>
          <w:p>
            <w:pPr>
              <w:pStyle w:val="801"/>
              <w:jc w:val="left"/>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pStyle w:val="801"/>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pStyle w:val="801"/>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tcPr>
          <w:p>
            <w:pPr>
              <w:pStyle w:val="801"/>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pStyle w:val="801"/>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pStyle w:val="801"/>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6</w:t>
            </w: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val="false"/>
          </w:tcPr>
          <w:p>
            <w:pPr>
              <w:pStyle w:val="801"/>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106" w:type="dxa"/>
            <w:vAlign w:val="center"/>
            <w:textDirection w:val="lrTb"/>
            <w:noWrap w:val="false"/>
          </w:tcPr>
          <w:p>
            <w:pPr>
              <w:pStyle w:val="801"/>
              <w:jc w:val="left"/>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pStyle w:val="801"/>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pStyle w:val="801"/>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tcPr>
          <w:p>
            <w:pPr>
              <w:pStyle w:val="801"/>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pStyle w:val="801"/>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pStyle w:val="801"/>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7</w:t>
            </w: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tcPr>
          <w:p>
            <w:pPr>
              <w:pStyle w:val="801"/>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106" w:type="dxa"/>
            <w:vAlign w:val="center"/>
            <w:textDirection w:val="lrTb"/>
            <w:noWrap w:val="false"/>
          </w:tcPr>
          <w:p>
            <w:pPr>
              <w:pStyle w:val="801"/>
              <w:jc w:val="left"/>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pStyle w:val="801"/>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pStyle w:val="801"/>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tcPr>
          <w:p>
            <w:pPr>
              <w:pStyle w:val="801"/>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pStyle w:val="801"/>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pStyle w:val="801"/>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8</w:t>
            </w: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tcPr>
          <w:p>
            <w:pPr>
              <w:pStyle w:val="801"/>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106" w:type="dxa"/>
            <w:vAlign w:val="center"/>
            <w:textDirection w:val="lrTb"/>
            <w:noWrap w:val="false"/>
          </w:tcPr>
          <w:p>
            <w:pPr>
              <w:pStyle w:val="801"/>
              <w:jc w:val="left"/>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pStyle w:val="801"/>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pStyle w:val="801"/>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tcPr>
          <w:p>
            <w:pPr>
              <w:pStyle w:val="801"/>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pStyle w:val="801"/>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pStyle w:val="801"/>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9</w:t>
            </w: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tcPr>
          <w:p>
            <w:pPr>
              <w:pStyle w:val="801"/>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106" w:type="dxa"/>
            <w:vAlign w:val="center"/>
            <w:textDirection w:val="lrTb"/>
            <w:noWrap w:val="false"/>
          </w:tcPr>
          <w:p>
            <w:pPr>
              <w:pStyle w:val="801"/>
              <w:jc w:val="left"/>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pStyle w:val="801"/>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pStyle w:val="801"/>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tcPr>
          <w:p>
            <w:pPr>
              <w:pStyle w:val="801"/>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pStyle w:val="801"/>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pStyle w:val="801"/>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rPr>
              <w:t xml:space="preserve">0</w:t>
            </w: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tcPr>
          <w:p>
            <w:pPr>
              <w:pStyle w:val="801"/>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106" w:type="dxa"/>
            <w:vAlign w:val="center"/>
            <w:textDirection w:val="lrTb"/>
            <w:noWrap w:val="false"/>
          </w:tcPr>
          <w:p>
            <w:pPr>
              <w:pStyle w:val="801"/>
              <w:jc w:val="left"/>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pStyle w:val="801"/>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pStyle w:val="801"/>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tcPr>
          <w:p>
            <w:pPr>
              <w:pStyle w:val="801"/>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pStyle w:val="801"/>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pStyle w:val="801"/>
              <w:jc w:val="center"/>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41</w:t>
            </w:r>
            <w:r>
              <w:rPr>
                <w:rFonts w:hint="eastAsia" w:ascii="宋体" w:hAnsi="宋体" w:eastAsia="宋体" w:cs="宋体"/>
                <w:color w:val="000000"/>
                <w:sz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val="false"/>
          </w:tcPr>
          <w:p>
            <w:pPr>
              <w:pStyle w:val="801"/>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106" w:type="dxa"/>
            <w:vAlign w:val="center"/>
            <w:textDirection w:val="lrTb"/>
            <w:noWrap w:val="false"/>
          </w:tcPr>
          <w:p>
            <w:pPr>
              <w:pStyle w:val="801"/>
              <w:jc w:val="left"/>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560" w:type="dxa"/>
            <w:vAlign w:val="center"/>
            <w:textDirection w:val="lrTb"/>
            <w:noWrap w:val="false"/>
          </w:tcPr>
          <w:p>
            <w:pPr>
              <w:pStyle w:val="801"/>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pStyle w:val="801"/>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val="false"/>
          </w:tcPr>
          <w:p>
            <w:pPr>
              <w:pStyle w:val="801"/>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pStyle w:val="801"/>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pStyle w:val="801"/>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val="false"/>
          </w:tcPr>
          <w:p>
            <w:pPr>
              <w:pStyle w:val="801"/>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106" w:type="dxa"/>
            <w:vAlign w:val="center"/>
            <w:textDirection w:val="lrTb"/>
            <w:noWrap w:val="false"/>
          </w:tcPr>
          <w:p>
            <w:pPr>
              <w:pStyle w:val="801"/>
              <w:jc w:val="left"/>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560" w:type="dxa"/>
            <w:vAlign w:val="center"/>
            <w:textDirection w:val="lrTb"/>
            <w:noWrap w:val="false"/>
          </w:tcPr>
          <w:p>
            <w:pPr>
              <w:pStyle w:val="801"/>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pStyle w:val="801"/>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val="false"/>
          </w:tcPr>
          <w:p>
            <w:pPr>
              <w:pStyle w:val="801"/>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pStyle w:val="801"/>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pStyle w:val="801"/>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rPr>
              <w:t xml:space="preserve">3</w:t>
            </w: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val="false"/>
          </w:tcPr>
          <w:p>
            <w:pPr>
              <w:pStyle w:val="801"/>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106" w:type="dxa"/>
            <w:vAlign w:val="center"/>
            <w:textDirection w:val="lrTb"/>
            <w:noWrap w:val="false"/>
          </w:tcPr>
          <w:p>
            <w:pPr>
              <w:pStyle w:val="801"/>
              <w:jc w:val="left"/>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560" w:type="dxa"/>
            <w:vAlign w:val="center"/>
            <w:textDirection w:val="lrTb"/>
            <w:noWrap w:val="false"/>
          </w:tcPr>
          <w:p>
            <w:pPr>
              <w:pStyle w:val="801"/>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pStyle w:val="801"/>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val="false"/>
          </w:tcPr>
          <w:p>
            <w:pPr>
              <w:pStyle w:val="801"/>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pStyle w:val="801"/>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pStyle w:val="801"/>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rPr>
              <w:t xml:space="preserve">4</w:t>
            </w: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val="false"/>
          </w:tcPr>
          <w:p>
            <w:pPr>
              <w:pStyle w:val="801"/>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106" w:type="dxa"/>
            <w:vAlign w:val="center"/>
            <w:textDirection w:val="lrTb"/>
            <w:noWrap w:val="false"/>
          </w:tcPr>
          <w:p>
            <w:pPr>
              <w:pStyle w:val="801"/>
              <w:jc w:val="left"/>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560" w:type="dxa"/>
            <w:vAlign w:val="center"/>
            <w:textDirection w:val="lrTb"/>
            <w:noWrap w:val="false"/>
          </w:tcPr>
          <w:p>
            <w:pPr>
              <w:pStyle w:val="801"/>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pStyle w:val="801"/>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val="false"/>
          </w:tcPr>
          <w:p>
            <w:pPr>
              <w:pStyle w:val="801"/>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pStyle w:val="801"/>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pStyle w:val="801"/>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rPr>
              <w:t xml:space="preserve">5</w:t>
            </w: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val="false"/>
          </w:tcPr>
          <w:p>
            <w:pPr>
              <w:pStyle w:val="801"/>
              <w:jc w:val="left"/>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106" w:type="dxa"/>
            <w:vAlign w:val="center"/>
            <w:textDirection w:val="lrTb"/>
            <w:noWrap w:val="false"/>
          </w:tcPr>
          <w:p>
            <w:pPr>
              <w:pStyle w:val="801"/>
              <w:jc w:val="left"/>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pStyle w:val="801"/>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pStyle w:val="801"/>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tcPr>
          <w:p>
            <w:pPr>
              <w:pStyle w:val="801"/>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pStyle w:val="801"/>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pStyle w:val="801"/>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rPr>
              <w:t xml:space="preserve">6</w:t>
            </w: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val="false"/>
          </w:tcPr>
          <w:p>
            <w:pPr>
              <w:pStyle w:val="801"/>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106" w:type="dxa"/>
            <w:vAlign w:val="center"/>
            <w:textDirection w:val="lrTb"/>
            <w:noWrap w:val="false"/>
          </w:tcPr>
          <w:p>
            <w:pPr>
              <w:pStyle w:val="801"/>
              <w:jc w:val="left"/>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pStyle w:val="801"/>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pStyle w:val="801"/>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tcPr>
          <w:p>
            <w:pPr>
              <w:pStyle w:val="801"/>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pStyle w:val="801"/>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pStyle w:val="801"/>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rPr>
              <w:t xml:space="preserve">7</w:t>
            </w: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tcPr>
          <w:p>
            <w:pPr>
              <w:pStyle w:val="801"/>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106" w:type="dxa"/>
            <w:vAlign w:val="center"/>
            <w:textDirection w:val="lrTb"/>
            <w:noWrap w:val="false"/>
          </w:tcPr>
          <w:p>
            <w:pPr>
              <w:pStyle w:val="801"/>
              <w:jc w:val="left"/>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pStyle w:val="801"/>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pStyle w:val="801"/>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tcPr>
          <w:p>
            <w:pPr>
              <w:pStyle w:val="801"/>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pStyle w:val="801"/>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pStyle w:val="801"/>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rPr>
              <w:t xml:space="preserve">8</w:t>
            </w: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tcPr>
          <w:p>
            <w:pPr>
              <w:pStyle w:val="801"/>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106" w:type="dxa"/>
            <w:vAlign w:val="center"/>
            <w:textDirection w:val="lrTb"/>
            <w:noWrap w:val="false"/>
          </w:tcPr>
          <w:p>
            <w:pPr>
              <w:pStyle w:val="801"/>
              <w:jc w:val="left"/>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pStyle w:val="801"/>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pStyle w:val="801"/>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tcPr>
          <w:p>
            <w:pPr>
              <w:pStyle w:val="801"/>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pStyle w:val="801"/>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pStyle w:val="801"/>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rPr>
              <w:t xml:space="preserve">9</w:t>
            </w: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tcPr>
          <w:p>
            <w:pPr>
              <w:pStyle w:val="801"/>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106" w:type="dxa"/>
            <w:vAlign w:val="center"/>
            <w:textDirection w:val="lrTb"/>
            <w:noWrap w:val="false"/>
          </w:tcPr>
          <w:p>
            <w:pPr>
              <w:pStyle w:val="801"/>
              <w:jc w:val="left"/>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pStyle w:val="801"/>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pStyle w:val="801"/>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tcPr>
          <w:p>
            <w:pPr>
              <w:pStyle w:val="801"/>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pStyle w:val="801"/>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pStyle w:val="801"/>
              <w:jc w:val="center"/>
              <w:spacing w:line="240" w:lineRule="auto"/>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50</w:t>
            </w:r>
            <w:r>
              <w:rPr>
                <w:rFonts w:ascii="宋体" w:hAnsi="宋体" w:eastAsia="宋体" w:cs="宋体"/>
                <w:color w:val="000000"/>
                <w:sz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tcPr>
          <w:p>
            <w:pPr>
              <w:pStyle w:val="801"/>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106" w:type="dxa"/>
            <w:vAlign w:val="center"/>
            <w:textDirection w:val="lrTb"/>
            <w:noWrap w:val="false"/>
          </w:tcPr>
          <w:p>
            <w:pPr>
              <w:pStyle w:val="801"/>
              <w:jc w:val="left"/>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pStyle w:val="801"/>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pStyle w:val="801"/>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tcPr>
          <w:p>
            <w:pPr>
              <w:pStyle w:val="801"/>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pStyle w:val="801"/>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pStyle w:val="801"/>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5</w:t>
            </w: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val="false"/>
          </w:tcPr>
          <w:p>
            <w:pPr>
              <w:pStyle w:val="801"/>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106" w:type="dxa"/>
            <w:vAlign w:val="center"/>
            <w:textDirection w:val="lrTb"/>
            <w:noWrap w:val="false"/>
          </w:tcPr>
          <w:p>
            <w:pPr>
              <w:pStyle w:val="801"/>
              <w:jc w:val="left"/>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560" w:type="dxa"/>
            <w:vAlign w:val="center"/>
            <w:textDirection w:val="lrTb"/>
            <w:noWrap w:val="false"/>
          </w:tcPr>
          <w:p>
            <w:pPr>
              <w:pStyle w:val="801"/>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pStyle w:val="801"/>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val="false"/>
          </w:tcPr>
          <w:p>
            <w:pPr>
              <w:pStyle w:val="801"/>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pStyle w:val="801"/>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pStyle w:val="801"/>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5</w:t>
            </w: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val="false"/>
          </w:tcPr>
          <w:p>
            <w:pPr>
              <w:pStyle w:val="801"/>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106" w:type="dxa"/>
            <w:vAlign w:val="center"/>
            <w:textDirection w:val="lrTb"/>
            <w:noWrap w:val="false"/>
          </w:tcPr>
          <w:p>
            <w:pPr>
              <w:pStyle w:val="801"/>
              <w:jc w:val="left"/>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560" w:type="dxa"/>
            <w:vAlign w:val="center"/>
            <w:textDirection w:val="lrTb"/>
            <w:noWrap w:val="false"/>
          </w:tcPr>
          <w:p>
            <w:pPr>
              <w:pStyle w:val="801"/>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pStyle w:val="801"/>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val="false"/>
          </w:tcPr>
          <w:p>
            <w:pPr>
              <w:pStyle w:val="801"/>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pStyle w:val="801"/>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pStyle w:val="801"/>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5</w:t>
            </w:r>
            <w:r>
              <w:rPr>
                <w:rFonts w:hint="eastAsia" w:ascii="宋体" w:hAnsi="宋体" w:eastAsia="宋体" w:cs="宋体"/>
                <w:color w:val="000000"/>
                <w:sz w:val="24"/>
                <w:highlight w:val="none"/>
              </w:rPr>
              <w:t xml:space="preserve">3</w:t>
            </w: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val="false"/>
          </w:tcPr>
          <w:p>
            <w:pPr>
              <w:pStyle w:val="801"/>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106" w:type="dxa"/>
            <w:vAlign w:val="center"/>
            <w:textDirection w:val="lrTb"/>
            <w:noWrap w:val="false"/>
          </w:tcPr>
          <w:p>
            <w:pPr>
              <w:pStyle w:val="801"/>
              <w:jc w:val="left"/>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560" w:type="dxa"/>
            <w:vAlign w:val="center"/>
            <w:textDirection w:val="lrTb"/>
            <w:noWrap w:val="false"/>
          </w:tcPr>
          <w:p>
            <w:pPr>
              <w:pStyle w:val="801"/>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pStyle w:val="801"/>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val="false"/>
          </w:tcPr>
          <w:p>
            <w:pPr>
              <w:pStyle w:val="801"/>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pStyle w:val="801"/>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pStyle w:val="801"/>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5</w:t>
            </w:r>
            <w:r>
              <w:rPr>
                <w:rFonts w:hint="eastAsia" w:ascii="宋体" w:hAnsi="宋体" w:eastAsia="宋体" w:cs="宋体"/>
                <w:color w:val="000000"/>
                <w:sz w:val="24"/>
                <w:highlight w:val="none"/>
              </w:rPr>
              <w:t xml:space="preserve">4</w:t>
            </w: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val="false"/>
          </w:tcPr>
          <w:p>
            <w:pPr>
              <w:pStyle w:val="801"/>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106" w:type="dxa"/>
            <w:vAlign w:val="center"/>
            <w:textDirection w:val="lrTb"/>
            <w:noWrap w:val="false"/>
          </w:tcPr>
          <w:p>
            <w:pPr>
              <w:pStyle w:val="801"/>
              <w:jc w:val="left"/>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560" w:type="dxa"/>
            <w:vAlign w:val="center"/>
            <w:textDirection w:val="lrTb"/>
            <w:noWrap w:val="false"/>
          </w:tcPr>
          <w:p>
            <w:pPr>
              <w:pStyle w:val="801"/>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pStyle w:val="801"/>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val="false"/>
          </w:tcPr>
          <w:p>
            <w:pPr>
              <w:pStyle w:val="801"/>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pStyle w:val="801"/>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pStyle w:val="801"/>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5</w:t>
            </w:r>
            <w:r>
              <w:rPr>
                <w:rFonts w:hint="eastAsia" w:ascii="宋体" w:hAnsi="宋体" w:eastAsia="宋体" w:cs="宋体"/>
                <w:color w:val="000000"/>
                <w:sz w:val="24"/>
                <w:highlight w:val="none"/>
              </w:rPr>
              <w:t xml:space="preserve">5</w:t>
            </w: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val="false"/>
          </w:tcPr>
          <w:p>
            <w:pPr>
              <w:pStyle w:val="801"/>
              <w:jc w:val="left"/>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106" w:type="dxa"/>
            <w:vAlign w:val="center"/>
            <w:textDirection w:val="lrTb"/>
            <w:noWrap w:val="false"/>
          </w:tcPr>
          <w:p>
            <w:pPr>
              <w:pStyle w:val="801"/>
              <w:jc w:val="left"/>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pStyle w:val="801"/>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pStyle w:val="801"/>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tcPr>
          <w:p>
            <w:pPr>
              <w:pStyle w:val="801"/>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pStyle w:val="801"/>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pStyle w:val="801"/>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5</w:t>
            </w:r>
            <w:r>
              <w:rPr>
                <w:rFonts w:hint="eastAsia" w:ascii="宋体" w:hAnsi="宋体" w:eastAsia="宋体" w:cs="宋体"/>
                <w:color w:val="000000"/>
                <w:sz w:val="24"/>
                <w:highlight w:val="none"/>
              </w:rPr>
              <w:t xml:space="preserve">6</w:t>
            </w: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val="false"/>
          </w:tcPr>
          <w:p>
            <w:pPr>
              <w:pStyle w:val="801"/>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106" w:type="dxa"/>
            <w:vAlign w:val="center"/>
            <w:textDirection w:val="lrTb"/>
            <w:noWrap w:val="false"/>
          </w:tcPr>
          <w:p>
            <w:pPr>
              <w:pStyle w:val="801"/>
              <w:jc w:val="left"/>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pStyle w:val="801"/>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pStyle w:val="801"/>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tcPr>
          <w:p>
            <w:pPr>
              <w:pStyle w:val="801"/>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pStyle w:val="801"/>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pStyle w:val="801"/>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5</w:t>
            </w:r>
            <w:r>
              <w:rPr>
                <w:rFonts w:hint="eastAsia" w:ascii="宋体" w:hAnsi="宋体" w:eastAsia="宋体" w:cs="宋体"/>
                <w:color w:val="000000"/>
                <w:sz w:val="24"/>
                <w:highlight w:val="none"/>
              </w:rPr>
              <w:t xml:space="preserve">7</w:t>
            </w: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tcPr>
          <w:p>
            <w:pPr>
              <w:pStyle w:val="801"/>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106" w:type="dxa"/>
            <w:vAlign w:val="center"/>
            <w:textDirection w:val="lrTb"/>
            <w:noWrap w:val="false"/>
          </w:tcPr>
          <w:p>
            <w:pPr>
              <w:pStyle w:val="801"/>
              <w:jc w:val="left"/>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pStyle w:val="801"/>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pStyle w:val="801"/>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tcPr>
          <w:p>
            <w:pPr>
              <w:pStyle w:val="801"/>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pStyle w:val="801"/>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pStyle w:val="801"/>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5</w:t>
            </w:r>
            <w:r>
              <w:rPr>
                <w:rFonts w:hint="eastAsia" w:ascii="宋体" w:hAnsi="宋体" w:eastAsia="宋体" w:cs="宋体"/>
                <w:color w:val="000000"/>
                <w:sz w:val="24"/>
                <w:highlight w:val="none"/>
              </w:rPr>
              <w:t xml:space="preserve">8</w:t>
            </w: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tcPr>
          <w:p>
            <w:pPr>
              <w:pStyle w:val="801"/>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106" w:type="dxa"/>
            <w:vAlign w:val="center"/>
            <w:textDirection w:val="lrTb"/>
            <w:noWrap w:val="false"/>
          </w:tcPr>
          <w:p>
            <w:pPr>
              <w:pStyle w:val="801"/>
              <w:jc w:val="left"/>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pStyle w:val="801"/>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pStyle w:val="801"/>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tcPr>
          <w:p>
            <w:pPr>
              <w:pStyle w:val="801"/>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pStyle w:val="801"/>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pStyle w:val="801"/>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5</w:t>
            </w:r>
            <w:r>
              <w:rPr>
                <w:rFonts w:hint="eastAsia" w:ascii="宋体" w:hAnsi="宋体" w:eastAsia="宋体" w:cs="宋体"/>
                <w:color w:val="000000"/>
                <w:sz w:val="24"/>
                <w:highlight w:val="none"/>
              </w:rPr>
              <w:t xml:space="preserve">9</w:t>
            </w: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tcPr>
          <w:p>
            <w:pPr>
              <w:pStyle w:val="801"/>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106" w:type="dxa"/>
            <w:vAlign w:val="center"/>
            <w:textDirection w:val="lrTb"/>
            <w:noWrap w:val="false"/>
          </w:tcPr>
          <w:p>
            <w:pPr>
              <w:pStyle w:val="801"/>
              <w:jc w:val="left"/>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pStyle w:val="801"/>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pStyle w:val="801"/>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tcPr>
          <w:p>
            <w:pPr>
              <w:pStyle w:val="801"/>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pStyle w:val="801"/>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pStyle w:val="801"/>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6</w:t>
            </w:r>
            <w:r>
              <w:rPr>
                <w:rFonts w:hint="eastAsia" w:ascii="宋体" w:hAnsi="宋体" w:eastAsia="宋体" w:cs="宋体"/>
                <w:color w:val="000000"/>
                <w:sz w:val="24"/>
                <w:highlight w:val="none"/>
              </w:rPr>
              <w:t xml:space="preserve">0</w:t>
            </w: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tcPr>
          <w:p>
            <w:pPr>
              <w:pStyle w:val="801"/>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106" w:type="dxa"/>
            <w:vAlign w:val="center"/>
            <w:textDirection w:val="lrTb"/>
            <w:noWrap w:val="false"/>
          </w:tcPr>
          <w:p>
            <w:pPr>
              <w:pStyle w:val="801"/>
              <w:jc w:val="left"/>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pStyle w:val="801"/>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pStyle w:val="801"/>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tcPr>
          <w:p>
            <w:pPr>
              <w:pStyle w:val="801"/>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pStyle w:val="801"/>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pStyle w:val="801"/>
              <w:jc w:val="center"/>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61</w:t>
            </w:r>
            <w:r>
              <w:rPr>
                <w:rFonts w:hint="eastAsia" w:ascii="宋体" w:hAnsi="宋体" w:eastAsia="宋体" w:cs="宋体"/>
                <w:color w:val="000000"/>
                <w:sz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val="false"/>
          </w:tcPr>
          <w:p>
            <w:pPr>
              <w:pStyle w:val="801"/>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106" w:type="dxa"/>
            <w:vAlign w:val="center"/>
            <w:textDirection w:val="lrTb"/>
            <w:noWrap w:val="false"/>
          </w:tcPr>
          <w:p>
            <w:pPr>
              <w:pStyle w:val="801"/>
              <w:jc w:val="left"/>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560" w:type="dxa"/>
            <w:vAlign w:val="center"/>
            <w:textDirection w:val="lrTb"/>
            <w:noWrap w:val="false"/>
          </w:tcPr>
          <w:p>
            <w:pPr>
              <w:pStyle w:val="801"/>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pStyle w:val="801"/>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val="false"/>
          </w:tcPr>
          <w:p>
            <w:pPr>
              <w:pStyle w:val="801"/>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pStyle w:val="801"/>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pStyle w:val="801"/>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6</w:t>
            </w: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val="false"/>
          </w:tcPr>
          <w:p>
            <w:pPr>
              <w:pStyle w:val="801"/>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106" w:type="dxa"/>
            <w:vAlign w:val="center"/>
            <w:textDirection w:val="lrTb"/>
            <w:noWrap w:val="false"/>
          </w:tcPr>
          <w:p>
            <w:pPr>
              <w:pStyle w:val="801"/>
              <w:jc w:val="left"/>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560" w:type="dxa"/>
            <w:vAlign w:val="center"/>
            <w:textDirection w:val="lrTb"/>
            <w:noWrap w:val="false"/>
          </w:tcPr>
          <w:p>
            <w:pPr>
              <w:pStyle w:val="801"/>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pStyle w:val="801"/>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val="false"/>
          </w:tcPr>
          <w:p>
            <w:pPr>
              <w:pStyle w:val="801"/>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pStyle w:val="801"/>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pStyle w:val="801"/>
              <w:jc w:val="center"/>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63</w:t>
            </w:r>
            <w:r>
              <w:rPr>
                <w:rFonts w:hint="eastAsia" w:ascii="宋体" w:hAnsi="宋体" w:eastAsia="宋体" w:cs="宋体"/>
                <w:color w:val="000000"/>
                <w:sz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val="false"/>
          </w:tcPr>
          <w:p>
            <w:pPr>
              <w:pStyle w:val="801"/>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106" w:type="dxa"/>
            <w:vAlign w:val="center"/>
            <w:textDirection w:val="lrTb"/>
            <w:noWrap w:val="false"/>
          </w:tcPr>
          <w:p>
            <w:pPr>
              <w:pStyle w:val="801"/>
              <w:jc w:val="left"/>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560" w:type="dxa"/>
            <w:vAlign w:val="center"/>
            <w:textDirection w:val="lrTb"/>
            <w:noWrap w:val="false"/>
          </w:tcPr>
          <w:p>
            <w:pPr>
              <w:pStyle w:val="801"/>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pStyle w:val="801"/>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val="false"/>
          </w:tcPr>
          <w:p>
            <w:pPr>
              <w:pStyle w:val="801"/>
              <w:jc w:val="center"/>
              <w:spacing w:line="24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pStyle w:val="801"/>
              <w:jc w:val="center"/>
              <w:spacing w:line="24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pStyle w:val="801"/>
              <w:jc w:val="center"/>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64</w:t>
            </w:r>
            <w:r>
              <w:rPr>
                <w:rFonts w:hint="eastAsia" w:ascii="宋体" w:hAnsi="宋体" w:eastAsia="宋体" w:cs="宋体"/>
                <w:color w:val="000000"/>
                <w:sz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val="false"/>
          </w:tcPr>
          <w:p>
            <w:pPr>
              <w:pStyle w:val="801"/>
              <w:jc w:val="center"/>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rPr>
              <w:t xml:space="preserve">安全生产费</w:t>
            </w:r>
            <w:r>
              <w:rPr>
                <w:rFonts w:hint="eastAsia" w:ascii="宋体" w:hAnsi="宋体" w:eastAsia="宋体" w:cs="宋体"/>
                <w:color w:val="000000"/>
                <w:sz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3106" w:type="dxa"/>
            <w:vAlign w:val="center"/>
            <w:textDirection w:val="lrTb"/>
            <w:noWrap w:val="false"/>
          </w:tcPr>
          <w:p>
            <w:pPr>
              <w:pStyle w:val="801"/>
              <w:jc w:val="left"/>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560" w:type="dxa"/>
            <w:vAlign w:val="center"/>
            <w:textDirection w:val="lrTb"/>
            <w:noWrap w:val="false"/>
          </w:tcPr>
          <w:p>
            <w:pPr>
              <w:pStyle w:val="801"/>
              <w:jc w:val="center"/>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项</w:t>
            </w:r>
            <w:r>
              <w:rPr>
                <w:rFonts w:hint="eastAsia" w:ascii="宋体" w:hAnsi="宋体" w:eastAsia="宋体" w:cs="宋体"/>
                <w:color w:val="000000"/>
                <w:sz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pStyle w:val="801"/>
              <w:jc w:val="center"/>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val="false"/>
          </w:tcPr>
          <w:p>
            <w:pPr>
              <w:pStyle w:val="801"/>
              <w:jc w:val="center"/>
              <w:spacing w:line="240" w:lineRule="auto"/>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highlight w:val="none"/>
                <w:lang w:val="en-US" w:eastAsia="zh-CN"/>
              </w:rPr>
              <w:t xml:space="preserve">192000</w:t>
            </w:r>
            <w:r>
              <w:rPr>
                <w:rFonts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pStyle w:val="801"/>
              <w:jc w:val="center"/>
              <w:spacing w:line="240" w:lineRule="auto"/>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highlight w:val="none"/>
                <w:lang w:val="en-US" w:eastAsia="zh-CN"/>
              </w:rPr>
              <w:t xml:space="preserve">192000</w:t>
            </w:r>
            <w:r>
              <w:rPr>
                <w:rFonts w:ascii="宋体" w:hAnsi="宋体" w:eastAsia="宋体" w:cs="宋体"/>
                <w:color w:val="000000"/>
                <w:sz w:val="24"/>
                <w:szCs w:val="24"/>
                <w:highlight w:val="none"/>
                <w:lang w:val="en-US" w:eastAsia="zh-CN" w:bidi="ar-SA"/>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pStyle w:val="801"/>
              <w:jc w:val="center"/>
              <w:spacing w:line="240" w:lineRule="auto"/>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65</w:t>
            </w:r>
            <w:r>
              <w:rPr>
                <w:rFonts w:ascii="宋体" w:hAnsi="宋体" w:eastAsia="宋体" w:cs="宋体"/>
                <w:color w:val="000000"/>
                <w:sz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val="false"/>
          </w:tcPr>
          <w:p>
            <w:pPr>
              <w:pStyle w:val="801"/>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暂列金</w:t>
            </w: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106" w:type="dxa"/>
            <w:vAlign w:val="center"/>
            <w:textDirection w:val="lrTb"/>
            <w:noWrap/>
          </w:tcPr>
          <w:p>
            <w:pPr>
              <w:pStyle w:val="801"/>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pStyle w:val="801"/>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项</w:t>
            </w: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pStyle w:val="801"/>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tcPr>
          <w:p>
            <w:pPr>
              <w:pStyle w:val="801"/>
              <w:jc w:val="center"/>
              <w:spacing w:line="240" w:lineRule="auto"/>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highlight w:val="none"/>
                <w:lang w:val="en-US" w:eastAsia="zh-CN"/>
              </w:rPr>
              <w:t xml:space="preserve">300000</w:t>
            </w:r>
            <w:r>
              <w:rPr>
                <w:rFonts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pStyle w:val="801"/>
              <w:jc w:val="center"/>
              <w:spacing w:line="240" w:lineRule="auto"/>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highlight w:val="none"/>
                <w:lang w:val="en-US" w:eastAsia="zh-CN"/>
              </w:rPr>
              <w:t xml:space="preserve">300000</w:t>
            </w:r>
            <w:r>
              <w:rPr>
                <w:rFonts w:ascii="宋体" w:hAnsi="宋体" w:eastAsia="宋体" w:cs="宋体"/>
                <w:color w:val="000000"/>
                <w:sz w:val="24"/>
                <w:szCs w:val="24"/>
                <w:highlight w:val="none"/>
                <w:lang w:val="en-US" w:eastAsia="zh-CN" w:bidi="ar-SA"/>
              </w:rPr>
            </w:r>
            <w:r/>
          </w:p>
        </w:tc>
      </w:tr>
      <w:tr>
        <w:trPr>
          <w:cantSplit/>
          <w:trHeight w:val="567"/>
        </w:trPr>
        <w:tc>
          <w:tcPr>
            <w:gridSpan w:val="6"/>
            <w:tcBorders>
              <w:top w:val="single" w:color="000000" w:sz="4" w:space="0"/>
              <w:left w:val="single" w:color="000000" w:sz="4" w:space="0"/>
              <w:bottom w:val="single" w:color="000000" w:sz="4" w:space="0"/>
              <w:right w:val="single" w:color="000000" w:sz="4" w:space="0"/>
            </w:tcBorders>
            <w:tcW w:w="8171" w:type="dxa"/>
            <w:vAlign w:val="center"/>
            <w:textDirection w:val="lrTb"/>
            <w:noWrap/>
          </w:tcPr>
          <w:p>
            <w:pPr>
              <w:pStyle w:val="801"/>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合计（元）：</w:t>
            </w: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pStyle w:val="801"/>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bl>
    <w:p>
      <w:pPr>
        <w:pStyle w:val="801"/>
        <w:ind w:firstLine="482"/>
        <w:jc w:val="left"/>
        <w:spacing w:line="400" w:lineRule="exac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p>
      <w:pPr>
        <w:pStyle w:val="801"/>
        <w:ind w:firstLine="482"/>
        <w:jc w:val="left"/>
        <w:spacing w:line="40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投标人应按照上述全费用工程量清单投标报价单要求逐项填报工程量清单。投标人不得擅自修改工程量清单项目名称、计量单位、工程数量或运算定义等，否则一律按否决投标处理。</w:t>
      </w:r>
      <w:r>
        <w:rPr>
          <w:rFonts w:hint="eastAsia" w:ascii="宋体" w:hAnsi="宋体" w:eastAsia="宋体" w:cs="宋体"/>
          <w:b/>
          <w:color w:val="000000"/>
          <w:sz w:val="24"/>
          <w:szCs w:val="24"/>
          <w:highlight w:val="none"/>
        </w:rPr>
      </w:r>
      <w:r/>
    </w:p>
    <w:p>
      <w:pPr>
        <w:pStyle w:val="801"/>
        <w:ind w:firstLine="643"/>
        <w:jc w:val="left"/>
        <w:spacing w:line="400" w:lineRule="exact"/>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801"/>
        <w:ind w:firstLine="643"/>
        <w:jc w:val="left"/>
        <w:spacing w:line="400" w:lineRule="exact"/>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816"/>
        <w:ind w:firstLine="411"/>
        <w:jc w:val="center"/>
        <w:spacing w:line="360" w:lineRule="auto"/>
        <w:rPr>
          <w:rFonts w:hint="eastAsia" w:ascii="宋体" w:hAnsi="宋体" w:eastAsia="宋体" w:cs="宋体"/>
          <w:b/>
          <w:bCs/>
          <w:color w:val="000000"/>
          <w:sz w:val="32"/>
          <w:szCs w:val="32"/>
          <w:highlight w:val="none"/>
        </w:rPr>
      </w:pPr>
      <w:r/>
      <w:bookmarkStart w:id="195" w:name="_Toc211090874"/>
      <w:r>
        <w:rPr>
          <w:rFonts w:hint="eastAsia" w:ascii="宋体" w:hAnsi="宋体" w:eastAsia="宋体" w:cs="宋体"/>
          <w:b/>
          <w:bCs/>
          <w:color w:val="000000"/>
          <w:sz w:val="32"/>
          <w:szCs w:val="32"/>
          <w:highlight w:val="none"/>
        </w:rPr>
        <w:t xml:space="preserve">四、全费用工程量清单投标报价单分析表</w:t>
      </w:r>
      <w:r>
        <w:rPr>
          <w:rFonts w:hint="eastAsia" w:ascii="宋体" w:hAnsi="宋体" w:eastAsia="宋体" w:cs="宋体"/>
          <w:b/>
          <w:bCs/>
          <w:color w:val="000000"/>
          <w:sz w:val="32"/>
          <w:szCs w:val="32"/>
          <w:highlight w:val="none"/>
        </w:rPr>
      </w:r>
      <w:r/>
    </w:p>
    <w:p>
      <w:pPr>
        <w:pStyle w:val="801"/>
        <w:ind w:firstLine="482"/>
        <w:jc w:val="left"/>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（全费用工程量清单投标报价单分析表</w:t>
      </w:r>
      <w:r>
        <w:rPr>
          <w:rFonts w:hint="eastAsia" w:ascii="宋体" w:hAnsi="宋体" w:eastAsia="宋体" w:cs="宋体"/>
          <w:b/>
          <w:bCs/>
          <w:color w:val="000000"/>
          <w:sz w:val="24"/>
          <w:szCs w:val="24"/>
          <w:highlight w:val="none"/>
          <w:lang w:val="en-US" w:eastAsia="zh-CN"/>
        </w:rPr>
        <w:t xml:space="preserve">格式</w:t>
      </w:r>
      <w:r>
        <w:rPr>
          <w:rFonts w:hint="eastAsia" w:ascii="宋体" w:hAnsi="宋体" w:eastAsia="宋体" w:cs="宋体"/>
          <w:b/>
          <w:bCs/>
          <w:color w:val="000000"/>
          <w:sz w:val="24"/>
          <w:szCs w:val="24"/>
          <w:highlight w:val="none"/>
        </w:rPr>
        <w:t xml:space="preserve">由投标人自拟，</w:t>
      </w:r>
      <w:r>
        <w:rPr>
          <w:rFonts w:hint="eastAsia" w:ascii="宋体" w:hAnsi="宋体" w:eastAsia="宋体" w:cs="宋体"/>
          <w:b/>
          <w:bCs/>
          <w:color w:val="000000"/>
          <w:sz w:val="24"/>
          <w:szCs w:val="24"/>
          <w:highlight w:val="none"/>
          <w:lang w:val="en-US" w:eastAsia="zh-CN"/>
        </w:rPr>
        <w:t xml:space="preserve">附表仅供参考，提供的</w:t>
      </w:r>
      <w:r>
        <w:rPr>
          <w:rFonts w:hint="eastAsia" w:ascii="宋体" w:hAnsi="宋体" w:eastAsia="宋体" w:cs="宋体"/>
          <w:b/>
          <w:bCs/>
          <w:color w:val="000000"/>
          <w:sz w:val="24"/>
          <w:szCs w:val="24"/>
          <w:highlight w:val="none"/>
        </w:rPr>
        <w:t xml:space="preserve">全费用工程量清单投标报价单分析表</w:t>
      </w:r>
      <w:r>
        <w:rPr>
          <w:rFonts w:hint="eastAsia" w:ascii="宋体" w:hAnsi="宋体" w:eastAsia="宋体" w:cs="宋体"/>
          <w:b/>
          <w:bCs/>
          <w:color w:val="000000"/>
          <w:sz w:val="24"/>
          <w:szCs w:val="24"/>
          <w:highlight w:val="none"/>
          <w:lang w:val="en-US" w:eastAsia="zh-CN"/>
        </w:rPr>
        <w:t xml:space="preserve">综合单价、总价应与</w:t>
      </w:r>
      <w:r>
        <w:rPr>
          <w:rFonts w:hint="eastAsia" w:ascii="宋体" w:hAnsi="宋体" w:eastAsia="宋体" w:cs="宋体"/>
          <w:b/>
          <w:bCs/>
          <w:color w:val="000000"/>
          <w:sz w:val="24"/>
          <w:szCs w:val="24"/>
          <w:highlight w:val="none"/>
        </w:rPr>
        <w:t xml:space="preserve">全费用工程量清单投标报价单</w:t>
      </w:r>
      <w:r>
        <w:rPr>
          <w:rFonts w:hint="eastAsia" w:ascii="宋体" w:hAnsi="宋体" w:eastAsia="宋体" w:cs="宋体"/>
          <w:b/>
          <w:bCs/>
          <w:color w:val="000000"/>
          <w:sz w:val="24"/>
          <w:szCs w:val="24"/>
          <w:highlight w:val="none"/>
          <w:lang w:val="en-US" w:eastAsia="zh-CN"/>
        </w:rPr>
        <w:t xml:space="preserve">综合单价、总价一致</w:t>
      </w:r>
      <w:r>
        <w:rPr>
          <w:rFonts w:hint="eastAsia" w:ascii="宋体" w:hAnsi="宋体" w:eastAsia="宋体" w:cs="宋体"/>
          <w:b/>
          <w:bCs/>
          <w:color w:val="000000"/>
          <w:sz w:val="24"/>
          <w:szCs w:val="24"/>
          <w:highlight w:val="none"/>
        </w:rPr>
        <w:t xml:space="preserve">，未提供的或</w:t>
      </w:r>
      <w:r>
        <w:rPr>
          <w:rFonts w:hint="eastAsia" w:ascii="宋体" w:hAnsi="宋体" w:eastAsia="宋体" w:cs="宋体"/>
          <w:b/>
          <w:bCs/>
          <w:color w:val="000000"/>
          <w:sz w:val="24"/>
          <w:szCs w:val="24"/>
          <w:highlight w:val="none"/>
          <w:lang w:val="en-US" w:eastAsia="zh-CN"/>
        </w:rPr>
        <w:t xml:space="preserve">不一致</w:t>
      </w:r>
      <w:r>
        <w:rPr>
          <w:rFonts w:hint="eastAsia" w:ascii="宋体" w:hAnsi="宋体" w:eastAsia="宋体" w:cs="宋体"/>
          <w:b/>
          <w:bCs/>
          <w:color w:val="000000"/>
          <w:sz w:val="24"/>
          <w:szCs w:val="24"/>
          <w:highlight w:val="none"/>
        </w:rPr>
        <w:t xml:space="preserve">的做无效标处理）</w:t>
      </w:r>
      <w:r>
        <w:rPr>
          <w:rFonts w:hint="eastAsia" w:ascii="宋体" w:hAnsi="宋体" w:eastAsia="宋体" w:cs="宋体"/>
          <w:b/>
          <w:bCs/>
          <w:color w:val="000000"/>
          <w:sz w:val="24"/>
          <w:szCs w:val="24"/>
          <w:highlight w:val="none"/>
        </w:rPr>
      </w:r>
      <w:r/>
    </w:p>
    <w:tbl>
      <w:tblPr>
        <w:tblW w:w="9136" w:type="dxa"/>
        <w:tblInd w:w="-12"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98"/>
        <w:gridCol w:w="1067"/>
        <w:gridCol w:w="875"/>
        <w:gridCol w:w="799"/>
        <w:gridCol w:w="404"/>
        <w:gridCol w:w="404"/>
        <w:gridCol w:w="404"/>
        <w:gridCol w:w="404"/>
        <w:gridCol w:w="404"/>
        <w:gridCol w:w="404"/>
        <w:gridCol w:w="404"/>
        <w:gridCol w:w="404"/>
        <w:gridCol w:w="404"/>
        <w:gridCol w:w="404"/>
        <w:gridCol w:w="618"/>
        <w:gridCol w:w="839"/>
      </w:tblGrid>
      <w:tr>
        <w:trPr>
          <w:trHeight w:val="300"/>
        </w:trPr>
        <w:tc>
          <w:tcPr>
            <w:gridSpan w:val="16"/>
            <w:tcW w:w="9136" w:type="dxa"/>
            <w:vAlign w:val="center"/>
            <w:textDirection w:val="lrTb"/>
            <w:noWrap/>
          </w:tcPr>
          <w:p>
            <w:pPr>
              <w:pStyle w:val="801"/>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全费用工程量清单投标报价单分析表</w:t>
            </w:r>
            <w:r>
              <w:rPr>
                <w:rFonts w:hint="eastAsia" w:ascii="宋体" w:hAnsi="宋体" w:eastAsia="宋体" w:cs="宋体"/>
                <w:b/>
                <w:bCs/>
                <w:i w:val="0"/>
                <w:iCs w:val="0"/>
                <w:color w:val="000000"/>
                <w:sz w:val="24"/>
                <w:szCs w:val="24"/>
                <w:highlight w:val="none"/>
                <w:u w:val="none"/>
              </w:rPr>
            </w:r>
            <w:r/>
          </w:p>
        </w:tc>
      </w:tr>
      <w:tr>
        <w:trPr>
          <w:trHeight w:val="300"/>
        </w:trPr>
        <w:tc>
          <w:tcPr>
            <w:gridSpan w:val="13"/>
            <w:tcW w:w="7275" w:type="dxa"/>
            <w:vAlign w:val="center"/>
            <w:textDirection w:val="lrTb"/>
            <w:noWrap/>
          </w:tcPr>
          <w:p>
            <w:pPr>
              <w:pStyle w:val="801"/>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工程名称：</w:t>
            </w:r>
            <w:r>
              <w:rPr>
                <w:rFonts w:hint="eastAsia" w:ascii="宋体" w:hAnsi="宋体" w:eastAsia="宋体" w:cs="宋体"/>
                <w:i w:val="0"/>
                <w:iCs w:val="0"/>
                <w:color w:val="000000"/>
                <w:sz w:val="20"/>
                <w:szCs w:val="20"/>
                <w:highlight w:val="none"/>
                <w:u w:val="none"/>
              </w:rPr>
            </w:r>
            <w:r/>
          </w:p>
        </w:tc>
        <w:tc>
          <w:tcPr>
            <w:tcW w:w="404" w:type="dxa"/>
            <w:vAlign w:val="center"/>
            <w:textDirection w:val="lrTb"/>
            <w:noWrap/>
          </w:tcPr>
          <w:p>
            <w:pPr>
              <w:pStyle w:val="801"/>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页</w:t>
            </w:r>
            <w:r>
              <w:rPr>
                <w:rFonts w:hint="eastAsia" w:ascii="宋体" w:hAnsi="宋体" w:eastAsia="宋体" w:cs="宋体"/>
                <w:i w:val="0"/>
                <w:iCs w:val="0"/>
                <w:color w:val="000000"/>
                <w:sz w:val="20"/>
                <w:szCs w:val="20"/>
                <w:highlight w:val="none"/>
                <w:u w:val="none"/>
              </w:rPr>
            </w:r>
            <w:r/>
          </w:p>
        </w:tc>
        <w:tc>
          <w:tcPr>
            <w:tcW w:w="618" w:type="dxa"/>
            <w:vAlign w:val="center"/>
            <w:textDirection w:val="lrTb"/>
            <w:noWrap/>
          </w:tcPr>
          <w:p>
            <w:pPr>
              <w:pStyle w:val="801"/>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共</w:t>
            </w:r>
            <w:r>
              <w:rPr>
                <w:rFonts w:hint="eastAsia" w:ascii="宋体" w:hAnsi="宋体" w:eastAsia="宋体" w:cs="宋体"/>
                <w:i w:val="0"/>
                <w:iCs w:val="0"/>
                <w:color w:val="000000"/>
                <w:sz w:val="20"/>
                <w:szCs w:val="20"/>
                <w:highlight w:val="none"/>
                <w:u w:val="none"/>
              </w:rPr>
            </w:r>
            <w:r/>
          </w:p>
        </w:tc>
        <w:tc>
          <w:tcPr>
            <w:tcW w:w="839" w:type="dxa"/>
            <w:vAlign w:val="center"/>
            <w:textDirection w:val="lrTb"/>
            <w:noWrap/>
          </w:tcPr>
          <w:p>
            <w:pPr>
              <w:pStyle w:val="801"/>
              <w:jc w:val="righ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页</w:t>
            </w:r>
            <w:r>
              <w:rPr>
                <w:rFonts w:hint="eastAsia" w:ascii="宋体" w:hAnsi="宋体" w:eastAsia="宋体" w:cs="宋体"/>
                <w:i w:val="0"/>
                <w:iCs w:val="0"/>
                <w:color w:val="000000"/>
                <w:sz w:val="20"/>
                <w:szCs w:val="20"/>
                <w:highlight w:val="none"/>
                <w:u w:val="none"/>
              </w:rPr>
            </w:r>
            <w:r/>
          </w:p>
        </w:tc>
      </w:tr>
      <w:tr>
        <w:trPr>
          <w:trHeight w:val="300"/>
        </w:trPr>
        <w:tc>
          <w:tcPr>
            <w:tcW w:w="898" w:type="dxa"/>
            <w:vAlign w:val="center"/>
            <w:vMerge w:val="restart"/>
            <w:textDirection w:val="lrTb"/>
            <w:noWrap/>
          </w:tcPr>
          <w:p>
            <w:pPr>
              <w:pStyle w:val="801"/>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编号</w:t>
            </w:r>
            <w:r>
              <w:rPr>
                <w:rFonts w:hint="eastAsia" w:ascii="宋体" w:hAnsi="宋体" w:eastAsia="宋体" w:cs="宋体"/>
                <w:i w:val="0"/>
                <w:iCs w:val="0"/>
                <w:color w:val="000000"/>
                <w:sz w:val="21"/>
                <w:szCs w:val="21"/>
                <w:highlight w:val="none"/>
                <w:u w:val="none"/>
              </w:rPr>
            </w:r>
            <w:r/>
          </w:p>
        </w:tc>
        <w:tc>
          <w:tcPr>
            <w:tcW w:w="1067" w:type="dxa"/>
            <w:vAlign w:val="center"/>
            <w:vMerge w:val="restart"/>
            <w:textDirection w:val="lrTb"/>
            <w:noWrap w:val="false"/>
          </w:tcPr>
          <w:p>
            <w:pPr>
              <w:pStyle w:val="801"/>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清单项目/计价项目名称</w:t>
            </w:r>
            <w:r>
              <w:rPr>
                <w:rFonts w:hint="eastAsia" w:ascii="宋体" w:hAnsi="宋体" w:eastAsia="宋体" w:cs="宋体"/>
                <w:i w:val="0"/>
                <w:iCs w:val="0"/>
                <w:color w:val="000000"/>
                <w:sz w:val="21"/>
                <w:szCs w:val="21"/>
                <w:highlight w:val="none"/>
                <w:u w:val="none"/>
              </w:rPr>
            </w:r>
            <w:r/>
          </w:p>
        </w:tc>
        <w:tc>
          <w:tcPr>
            <w:tcW w:w="875" w:type="dxa"/>
            <w:vAlign w:val="center"/>
            <w:vMerge w:val="restart"/>
            <w:textDirection w:val="lrTb"/>
            <w:noWrap w:val="false"/>
          </w:tcPr>
          <w:p>
            <w:pPr>
              <w:pStyle w:val="801"/>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计价定额编号</w:t>
            </w:r>
            <w:r>
              <w:rPr>
                <w:rFonts w:hint="eastAsia" w:ascii="宋体" w:hAnsi="宋体" w:eastAsia="宋体" w:cs="宋体"/>
                <w:i w:val="0"/>
                <w:iCs w:val="0"/>
                <w:color w:val="000000"/>
                <w:sz w:val="21"/>
                <w:szCs w:val="21"/>
                <w:highlight w:val="none"/>
                <w:u w:val="none"/>
              </w:rPr>
            </w:r>
            <w:r/>
          </w:p>
        </w:tc>
        <w:tc>
          <w:tcPr>
            <w:tcW w:w="799" w:type="dxa"/>
            <w:vAlign w:val="center"/>
            <w:vMerge w:val="restart"/>
            <w:textDirection w:val="lrTb"/>
            <w:noWrap w:val="false"/>
          </w:tcPr>
          <w:p>
            <w:pPr>
              <w:pStyle w:val="801"/>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项目特征表述</w:t>
            </w:r>
            <w:r>
              <w:rPr>
                <w:rFonts w:hint="eastAsia" w:ascii="宋体" w:hAnsi="宋体" w:eastAsia="宋体" w:cs="宋体"/>
                <w:i w:val="0"/>
                <w:iCs w:val="0"/>
                <w:color w:val="000000"/>
                <w:sz w:val="21"/>
                <w:szCs w:val="21"/>
                <w:highlight w:val="none"/>
                <w:u w:val="none"/>
              </w:rPr>
            </w:r>
            <w:r/>
          </w:p>
        </w:tc>
        <w:tc>
          <w:tcPr>
            <w:tcW w:w="404" w:type="dxa"/>
            <w:vAlign w:val="center"/>
            <w:vMerge w:val="restart"/>
            <w:textDirection w:val="lrTb"/>
            <w:noWrap/>
          </w:tcPr>
          <w:p>
            <w:pPr>
              <w:pStyle w:val="801"/>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单位</w:t>
            </w:r>
            <w:r>
              <w:rPr>
                <w:rFonts w:hint="eastAsia" w:ascii="宋体" w:hAnsi="宋体" w:eastAsia="宋体" w:cs="宋体"/>
                <w:i w:val="0"/>
                <w:iCs w:val="0"/>
                <w:color w:val="000000"/>
                <w:sz w:val="21"/>
                <w:szCs w:val="21"/>
                <w:highlight w:val="none"/>
                <w:u w:val="none"/>
              </w:rPr>
            </w:r>
            <w:r/>
          </w:p>
        </w:tc>
        <w:tc>
          <w:tcPr>
            <w:tcW w:w="404" w:type="dxa"/>
            <w:vAlign w:val="center"/>
            <w:vMerge w:val="restart"/>
            <w:textDirection w:val="lrTb"/>
            <w:noWrap/>
          </w:tcPr>
          <w:p>
            <w:pPr>
              <w:pStyle w:val="801"/>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工程量</w:t>
            </w:r>
            <w:r>
              <w:rPr>
                <w:rFonts w:hint="eastAsia" w:ascii="宋体" w:hAnsi="宋体" w:eastAsia="宋体" w:cs="宋体"/>
                <w:i w:val="0"/>
                <w:iCs w:val="0"/>
                <w:color w:val="000000"/>
                <w:sz w:val="21"/>
                <w:szCs w:val="21"/>
                <w:highlight w:val="none"/>
                <w:u w:val="none"/>
              </w:rPr>
            </w:r>
            <w:r/>
          </w:p>
        </w:tc>
        <w:tc>
          <w:tcPr>
            <w:gridSpan w:val="9"/>
            <w:tcW w:w="3850" w:type="dxa"/>
            <w:vAlign w:val="center"/>
            <w:textDirection w:val="lrTb"/>
            <w:noWrap w:val="false"/>
          </w:tcPr>
          <w:p>
            <w:pPr>
              <w:pStyle w:val="801"/>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全费用综合单价（元）</w:t>
            </w:r>
            <w:r>
              <w:rPr>
                <w:rFonts w:hint="eastAsia" w:ascii="宋体" w:hAnsi="宋体" w:eastAsia="宋体" w:cs="宋体"/>
                <w:i w:val="0"/>
                <w:iCs w:val="0"/>
                <w:color w:val="000000"/>
                <w:sz w:val="21"/>
                <w:szCs w:val="21"/>
                <w:highlight w:val="none"/>
                <w:u w:val="none"/>
              </w:rPr>
            </w:r>
            <w:r/>
          </w:p>
        </w:tc>
        <w:tc>
          <w:tcPr>
            <w:tcW w:w="839" w:type="dxa"/>
            <w:vAlign w:val="center"/>
            <w:vMerge w:val="restart"/>
            <w:textDirection w:val="lrTb"/>
            <w:noWrap w:val="false"/>
          </w:tcPr>
          <w:p>
            <w:pPr>
              <w:pStyle w:val="801"/>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全费用合价</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（元）</w:t>
            </w:r>
            <w:r>
              <w:rPr>
                <w:rFonts w:hint="eastAsia" w:ascii="宋体" w:hAnsi="宋体" w:eastAsia="宋体" w:cs="宋体"/>
                <w:i w:val="0"/>
                <w:iCs w:val="0"/>
                <w:color w:val="000000"/>
                <w:sz w:val="21"/>
                <w:szCs w:val="21"/>
                <w:highlight w:val="none"/>
                <w:u w:val="none"/>
              </w:rPr>
            </w:r>
            <w:r/>
          </w:p>
        </w:tc>
      </w:tr>
      <w:tr>
        <w:trPr>
          <w:trHeight w:val="880"/>
        </w:trPr>
        <w:tc>
          <w:tcPr>
            <w:tcW w:w="898" w:type="dxa"/>
            <w:vAlign w:val="center"/>
            <w:vMerge w:val="continue"/>
            <w:textDirection w:val="lrTb"/>
            <w:noWrap/>
          </w:tcPr>
          <w:p>
            <w:pPr>
              <w:pStyle w:val="801"/>
              <w:jc w:val="center"/>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067" w:type="dxa"/>
            <w:vAlign w:val="center"/>
            <w:vMerge w:val="continue"/>
            <w:textDirection w:val="lrTb"/>
            <w:noWrap w:val="false"/>
          </w:tcPr>
          <w:p>
            <w:pPr>
              <w:pStyle w:val="801"/>
              <w:jc w:val="center"/>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875" w:type="dxa"/>
            <w:vAlign w:val="center"/>
            <w:vMerge w:val="continue"/>
            <w:textDirection w:val="lrTb"/>
            <w:noWrap w:val="false"/>
          </w:tcPr>
          <w:p>
            <w:pPr>
              <w:pStyle w:val="801"/>
              <w:jc w:val="center"/>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799" w:type="dxa"/>
            <w:vAlign w:val="center"/>
            <w:vMerge w:val="continue"/>
            <w:textDirection w:val="lrTb"/>
            <w:noWrap w:val="false"/>
          </w:tcPr>
          <w:p>
            <w:pPr>
              <w:pStyle w:val="801"/>
              <w:jc w:val="center"/>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vMerge w:val="continue"/>
            <w:textDirection w:val="lrTb"/>
            <w:noWrap/>
          </w:tcPr>
          <w:p>
            <w:pPr>
              <w:pStyle w:val="801"/>
              <w:jc w:val="center"/>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vMerge w:val="continue"/>
            <w:textDirection w:val="lrTb"/>
            <w:noWrap/>
          </w:tcPr>
          <w:p>
            <w:pPr>
              <w:pStyle w:val="801"/>
              <w:jc w:val="center"/>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val="false"/>
          </w:tcPr>
          <w:p>
            <w:pPr>
              <w:pStyle w:val="801"/>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人工费</w:t>
            </w:r>
            <w:r>
              <w:rPr>
                <w:rFonts w:hint="eastAsia" w:ascii="宋体" w:hAnsi="宋体" w:eastAsia="宋体" w:cs="宋体"/>
                <w:i w:val="0"/>
                <w:iCs w:val="0"/>
                <w:color w:val="000000"/>
                <w:sz w:val="21"/>
                <w:szCs w:val="21"/>
                <w:highlight w:val="none"/>
                <w:u w:val="none"/>
              </w:rPr>
            </w:r>
            <w:r/>
          </w:p>
        </w:tc>
        <w:tc>
          <w:tcPr>
            <w:tcW w:w="404" w:type="dxa"/>
            <w:vAlign w:val="center"/>
            <w:textDirection w:val="lrTb"/>
            <w:noWrap w:val="false"/>
          </w:tcPr>
          <w:p>
            <w:pPr>
              <w:pStyle w:val="801"/>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机械费</w:t>
            </w:r>
            <w:r>
              <w:rPr>
                <w:rFonts w:hint="eastAsia" w:ascii="宋体" w:hAnsi="宋体" w:eastAsia="宋体" w:cs="宋体"/>
                <w:i w:val="0"/>
                <w:iCs w:val="0"/>
                <w:color w:val="000000"/>
                <w:sz w:val="21"/>
                <w:szCs w:val="21"/>
                <w:highlight w:val="none"/>
                <w:u w:val="none"/>
              </w:rPr>
            </w:r>
            <w:r/>
          </w:p>
        </w:tc>
        <w:tc>
          <w:tcPr>
            <w:tcW w:w="404" w:type="dxa"/>
            <w:vAlign w:val="center"/>
            <w:textDirection w:val="lrTb"/>
            <w:noWrap w:val="false"/>
          </w:tcPr>
          <w:p>
            <w:pPr>
              <w:pStyle w:val="801"/>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材料费</w:t>
            </w:r>
            <w:r>
              <w:rPr>
                <w:rFonts w:hint="eastAsia" w:ascii="宋体" w:hAnsi="宋体" w:eastAsia="宋体" w:cs="宋体"/>
                <w:i w:val="0"/>
                <w:iCs w:val="0"/>
                <w:color w:val="000000"/>
                <w:sz w:val="21"/>
                <w:szCs w:val="21"/>
                <w:highlight w:val="none"/>
                <w:u w:val="none"/>
              </w:rPr>
            </w:r>
            <w:r/>
          </w:p>
        </w:tc>
        <w:tc>
          <w:tcPr>
            <w:tcW w:w="404" w:type="dxa"/>
            <w:vAlign w:val="center"/>
            <w:textDirection w:val="lrTb"/>
            <w:noWrap w:val="false"/>
          </w:tcPr>
          <w:p>
            <w:pPr>
              <w:pStyle w:val="801"/>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管理费</w:t>
            </w:r>
            <w:r>
              <w:rPr>
                <w:rFonts w:hint="eastAsia" w:ascii="宋体" w:hAnsi="宋体" w:eastAsia="宋体" w:cs="宋体"/>
                <w:i w:val="0"/>
                <w:iCs w:val="0"/>
                <w:color w:val="000000"/>
                <w:sz w:val="21"/>
                <w:szCs w:val="21"/>
                <w:highlight w:val="none"/>
                <w:u w:val="none"/>
              </w:rPr>
            </w:r>
            <w:r/>
          </w:p>
        </w:tc>
        <w:tc>
          <w:tcPr>
            <w:tcW w:w="404" w:type="dxa"/>
            <w:vAlign w:val="center"/>
            <w:textDirection w:val="lrTb"/>
            <w:noWrap w:val="false"/>
          </w:tcPr>
          <w:p>
            <w:pPr>
              <w:pStyle w:val="801"/>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利润</w:t>
            </w:r>
            <w:r>
              <w:rPr>
                <w:rFonts w:hint="eastAsia" w:ascii="宋体" w:hAnsi="宋体" w:eastAsia="宋体" w:cs="宋体"/>
                <w:i w:val="0"/>
                <w:iCs w:val="0"/>
                <w:color w:val="000000"/>
                <w:sz w:val="21"/>
                <w:szCs w:val="21"/>
                <w:highlight w:val="none"/>
                <w:u w:val="none"/>
              </w:rPr>
            </w:r>
            <w:r/>
          </w:p>
        </w:tc>
        <w:tc>
          <w:tcPr>
            <w:tcW w:w="404" w:type="dxa"/>
            <w:vAlign w:val="center"/>
            <w:textDirection w:val="lrTb"/>
            <w:noWrap w:val="false"/>
          </w:tcPr>
          <w:p>
            <w:pPr>
              <w:pStyle w:val="801"/>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其他间接费</w:t>
            </w:r>
            <w:r>
              <w:rPr>
                <w:rFonts w:hint="eastAsia" w:ascii="宋体" w:hAnsi="宋体" w:eastAsia="宋体" w:cs="宋体"/>
                <w:i w:val="0"/>
                <w:iCs w:val="0"/>
                <w:color w:val="000000"/>
                <w:sz w:val="21"/>
                <w:szCs w:val="21"/>
                <w:highlight w:val="none"/>
                <w:u w:val="none"/>
              </w:rPr>
            </w:r>
            <w:r/>
          </w:p>
        </w:tc>
        <w:tc>
          <w:tcPr>
            <w:tcW w:w="404" w:type="dxa"/>
            <w:vAlign w:val="center"/>
            <w:textDirection w:val="lrTb"/>
            <w:noWrap w:val="false"/>
          </w:tcPr>
          <w:p>
            <w:pPr>
              <w:pStyle w:val="801"/>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规费</w:t>
            </w:r>
            <w:r>
              <w:rPr>
                <w:rFonts w:hint="eastAsia" w:ascii="宋体" w:hAnsi="宋体" w:eastAsia="宋体" w:cs="宋体"/>
                <w:i w:val="0"/>
                <w:iCs w:val="0"/>
                <w:color w:val="000000"/>
                <w:sz w:val="21"/>
                <w:szCs w:val="21"/>
                <w:highlight w:val="none"/>
                <w:u w:val="none"/>
              </w:rPr>
            </w:r>
            <w:r/>
          </w:p>
        </w:tc>
        <w:tc>
          <w:tcPr>
            <w:tcW w:w="404" w:type="dxa"/>
            <w:vAlign w:val="center"/>
            <w:textDirection w:val="lrTb"/>
            <w:noWrap w:val="false"/>
          </w:tcPr>
          <w:p>
            <w:pPr>
              <w:pStyle w:val="801"/>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税金</w:t>
            </w:r>
            <w:r>
              <w:rPr>
                <w:rFonts w:hint="eastAsia" w:ascii="宋体" w:hAnsi="宋体" w:eastAsia="宋体" w:cs="宋体"/>
                <w:i w:val="0"/>
                <w:iCs w:val="0"/>
                <w:color w:val="000000"/>
                <w:sz w:val="21"/>
                <w:szCs w:val="21"/>
                <w:highlight w:val="none"/>
                <w:u w:val="none"/>
              </w:rPr>
            </w:r>
            <w:r/>
          </w:p>
        </w:tc>
        <w:tc>
          <w:tcPr>
            <w:tcW w:w="618" w:type="dxa"/>
            <w:vAlign w:val="center"/>
            <w:textDirection w:val="lrTb"/>
            <w:noWrap w:val="false"/>
          </w:tcPr>
          <w:p>
            <w:pPr>
              <w:pStyle w:val="801"/>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小计</w:t>
            </w:r>
            <w:r>
              <w:rPr>
                <w:rFonts w:hint="eastAsia" w:ascii="宋体" w:hAnsi="宋体" w:eastAsia="宋体" w:cs="宋体"/>
                <w:i w:val="0"/>
                <w:iCs w:val="0"/>
                <w:color w:val="000000"/>
                <w:sz w:val="21"/>
                <w:szCs w:val="21"/>
                <w:highlight w:val="none"/>
                <w:u w:val="none"/>
              </w:rPr>
            </w:r>
            <w:r/>
          </w:p>
        </w:tc>
        <w:tc>
          <w:tcPr>
            <w:tcW w:w="839" w:type="dxa"/>
            <w:vAlign w:val="center"/>
            <w:vMerge w:val="continue"/>
            <w:textDirection w:val="lrTb"/>
            <w:noWrap w:val="false"/>
          </w:tcPr>
          <w:p>
            <w:pPr>
              <w:pStyle w:val="801"/>
              <w:jc w:val="center"/>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80"/>
        </w:trPr>
        <w:tc>
          <w:tcPr>
            <w:tcW w:w="898" w:type="dxa"/>
            <w:vAlign w:val="center"/>
            <w:textDirection w:val="lrTb"/>
            <w:noWrap/>
          </w:tcPr>
          <w:p>
            <w:pPr>
              <w:pStyle w:val="801"/>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067" w:type="dxa"/>
            <w:vAlign w:val="center"/>
            <w:textDirection w:val="lrTb"/>
            <w:noWrap w:val="false"/>
          </w:tcPr>
          <w:p>
            <w:pPr>
              <w:pStyle w:val="801"/>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{清单项目名称}</w:t>
            </w:r>
            <w:r>
              <w:rPr>
                <w:rFonts w:hint="eastAsia" w:ascii="宋体" w:hAnsi="宋体" w:eastAsia="宋体" w:cs="宋体"/>
                <w:i w:val="0"/>
                <w:iCs w:val="0"/>
                <w:color w:val="000000"/>
                <w:sz w:val="21"/>
                <w:szCs w:val="21"/>
                <w:highlight w:val="none"/>
                <w:u w:val="none"/>
              </w:rPr>
            </w:r>
            <w:r/>
          </w:p>
        </w:tc>
        <w:tc>
          <w:tcPr>
            <w:tcW w:w="875" w:type="dxa"/>
            <w:vAlign w:val="center"/>
            <w:textDirection w:val="lrTb"/>
            <w:noWrap/>
          </w:tcPr>
          <w:p>
            <w:pPr>
              <w:pStyle w:val="801"/>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799" w:type="dxa"/>
            <w:vAlign w:val="center"/>
            <w:textDirection w:val="lrTb"/>
            <w:noWrap/>
          </w:tcPr>
          <w:p>
            <w:pPr>
              <w:pStyle w:val="801"/>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801"/>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801"/>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801"/>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801"/>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801"/>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801"/>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801"/>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801"/>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801"/>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801"/>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18" w:type="dxa"/>
            <w:vAlign w:val="center"/>
            <w:textDirection w:val="lrTb"/>
            <w:noWrap/>
          </w:tcPr>
          <w:p>
            <w:pPr>
              <w:pStyle w:val="801"/>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839" w:type="dxa"/>
            <w:vAlign w:val="center"/>
            <w:textDirection w:val="lrTb"/>
            <w:noWrap/>
          </w:tcPr>
          <w:p>
            <w:pPr>
              <w:pStyle w:val="801"/>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80"/>
        </w:trPr>
        <w:tc>
          <w:tcPr>
            <w:tcW w:w="898" w:type="dxa"/>
            <w:vAlign w:val="center"/>
            <w:textDirection w:val="lrTb"/>
            <w:noWrap/>
          </w:tcPr>
          <w:p>
            <w:pPr>
              <w:pStyle w:val="801"/>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rPr>
                <w:rFonts w:hint="eastAsia" w:ascii="宋体" w:hAnsi="宋体" w:eastAsia="宋体" w:cs="宋体"/>
                <w:i w:val="0"/>
                <w:iCs w:val="0"/>
                <w:color w:val="000000"/>
                <w:sz w:val="21"/>
                <w:szCs w:val="21"/>
                <w:highlight w:val="none"/>
                <w:u w:val="none"/>
              </w:rPr>
            </w:r>
            <w:r/>
          </w:p>
        </w:tc>
        <w:tc>
          <w:tcPr>
            <w:tcW w:w="1067" w:type="dxa"/>
            <w:vAlign w:val="center"/>
            <w:textDirection w:val="lrTb"/>
            <w:noWrap w:val="false"/>
          </w:tcPr>
          <w:p>
            <w:pPr>
              <w:pStyle w:val="801"/>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{计价项目名称}</w:t>
            </w:r>
            <w:r>
              <w:rPr>
                <w:rFonts w:hint="eastAsia" w:ascii="宋体" w:hAnsi="宋体" w:eastAsia="宋体" w:cs="宋体"/>
                <w:i w:val="0"/>
                <w:iCs w:val="0"/>
                <w:color w:val="000000"/>
                <w:sz w:val="21"/>
                <w:szCs w:val="21"/>
                <w:highlight w:val="none"/>
                <w:u w:val="none"/>
              </w:rPr>
            </w:r>
            <w:r/>
          </w:p>
        </w:tc>
        <w:tc>
          <w:tcPr>
            <w:tcW w:w="875" w:type="dxa"/>
            <w:vAlign w:val="center"/>
            <w:textDirection w:val="lrTb"/>
            <w:noWrap/>
          </w:tcPr>
          <w:p>
            <w:pPr>
              <w:pStyle w:val="801"/>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799" w:type="dxa"/>
            <w:vAlign w:val="center"/>
            <w:textDirection w:val="lrTb"/>
            <w:noWrap/>
          </w:tcPr>
          <w:p>
            <w:pPr>
              <w:pStyle w:val="801"/>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801"/>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801"/>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801"/>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801"/>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801"/>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801"/>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801"/>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801"/>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801"/>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801"/>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18" w:type="dxa"/>
            <w:vAlign w:val="center"/>
            <w:textDirection w:val="lrTb"/>
            <w:noWrap/>
          </w:tcPr>
          <w:p>
            <w:pPr>
              <w:pStyle w:val="801"/>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839" w:type="dxa"/>
            <w:vAlign w:val="center"/>
            <w:textDirection w:val="lrTb"/>
            <w:noWrap/>
          </w:tcPr>
          <w:p>
            <w:pPr>
              <w:pStyle w:val="801"/>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tcW w:w="898" w:type="dxa"/>
            <w:vAlign w:val="center"/>
            <w:textDirection w:val="lrTb"/>
            <w:noWrap/>
          </w:tcPr>
          <w:p>
            <w:pPr>
              <w:pStyle w:val="801"/>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rPr>
                <w:rFonts w:hint="eastAsia" w:ascii="宋体" w:hAnsi="宋体" w:eastAsia="宋体" w:cs="宋体"/>
                <w:i w:val="0"/>
                <w:iCs w:val="0"/>
                <w:color w:val="000000"/>
                <w:sz w:val="21"/>
                <w:szCs w:val="21"/>
                <w:highlight w:val="none"/>
                <w:u w:val="none"/>
              </w:rPr>
            </w:r>
            <w:r/>
          </w:p>
        </w:tc>
        <w:tc>
          <w:tcPr>
            <w:tcW w:w="1067" w:type="dxa"/>
            <w:vAlign w:val="center"/>
            <w:textDirection w:val="lrTb"/>
            <w:noWrap/>
          </w:tcPr>
          <w:p>
            <w:pPr>
              <w:pStyle w:val="801"/>
              <w:jc w:val="center"/>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875" w:type="dxa"/>
            <w:vAlign w:val="center"/>
            <w:textDirection w:val="lrTb"/>
            <w:noWrap/>
          </w:tcPr>
          <w:p>
            <w:pPr>
              <w:pStyle w:val="801"/>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799" w:type="dxa"/>
            <w:vAlign w:val="center"/>
            <w:textDirection w:val="lrTb"/>
            <w:noWrap/>
          </w:tcPr>
          <w:p>
            <w:pPr>
              <w:pStyle w:val="801"/>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801"/>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801"/>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801"/>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801"/>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801"/>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801"/>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801"/>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801"/>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801"/>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801"/>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18" w:type="dxa"/>
            <w:vAlign w:val="center"/>
            <w:textDirection w:val="lrTb"/>
            <w:noWrap/>
          </w:tcPr>
          <w:p>
            <w:pPr>
              <w:pStyle w:val="801"/>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839" w:type="dxa"/>
            <w:vAlign w:val="center"/>
            <w:textDirection w:val="lrTb"/>
            <w:noWrap/>
          </w:tcPr>
          <w:p>
            <w:pPr>
              <w:pStyle w:val="801"/>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tcW w:w="898" w:type="dxa"/>
            <w:vAlign w:val="center"/>
            <w:textDirection w:val="lrTb"/>
            <w:noWrap/>
          </w:tcPr>
          <w:p>
            <w:pPr>
              <w:pStyle w:val="801"/>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w:t>
            </w:r>
            <w:r>
              <w:rPr>
                <w:rFonts w:hint="eastAsia" w:ascii="宋体" w:hAnsi="宋体" w:eastAsia="宋体" w:cs="宋体"/>
                <w:i w:val="0"/>
                <w:iCs w:val="0"/>
                <w:color w:val="000000"/>
                <w:sz w:val="21"/>
                <w:szCs w:val="21"/>
                <w:highlight w:val="none"/>
                <w:u w:val="none"/>
              </w:rPr>
            </w:r>
            <w:r/>
          </w:p>
        </w:tc>
        <w:tc>
          <w:tcPr>
            <w:tcW w:w="1067" w:type="dxa"/>
            <w:vAlign w:val="center"/>
            <w:textDirection w:val="lrTb"/>
            <w:noWrap/>
          </w:tcPr>
          <w:p>
            <w:pPr>
              <w:pStyle w:val="801"/>
              <w:jc w:val="center"/>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875" w:type="dxa"/>
            <w:vAlign w:val="center"/>
            <w:textDirection w:val="lrTb"/>
            <w:noWrap/>
          </w:tcPr>
          <w:p>
            <w:pPr>
              <w:pStyle w:val="801"/>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799" w:type="dxa"/>
            <w:vAlign w:val="center"/>
            <w:textDirection w:val="lrTb"/>
            <w:noWrap/>
          </w:tcPr>
          <w:p>
            <w:pPr>
              <w:pStyle w:val="801"/>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801"/>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801"/>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801"/>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801"/>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801"/>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801"/>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801"/>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801"/>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801"/>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801"/>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18" w:type="dxa"/>
            <w:vAlign w:val="center"/>
            <w:textDirection w:val="lrTb"/>
            <w:noWrap/>
          </w:tcPr>
          <w:p>
            <w:pPr>
              <w:pStyle w:val="801"/>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839" w:type="dxa"/>
            <w:vAlign w:val="center"/>
            <w:textDirection w:val="lrTb"/>
            <w:noWrap/>
          </w:tcPr>
          <w:p>
            <w:pPr>
              <w:pStyle w:val="801"/>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tcW w:w="898" w:type="dxa"/>
            <w:vAlign w:val="center"/>
            <w:textDirection w:val="lrTb"/>
            <w:noWrap/>
          </w:tcPr>
          <w:p>
            <w:pPr>
              <w:pStyle w:val="801"/>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067" w:type="dxa"/>
            <w:vAlign w:val="center"/>
            <w:textDirection w:val="lrTb"/>
            <w:noWrap/>
          </w:tcPr>
          <w:p>
            <w:pPr>
              <w:pStyle w:val="801"/>
              <w:jc w:val="center"/>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875" w:type="dxa"/>
            <w:vAlign w:val="center"/>
            <w:textDirection w:val="lrTb"/>
            <w:noWrap/>
          </w:tcPr>
          <w:p>
            <w:pPr>
              <w:pStyle w:val="801"/>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799" w:type="dxa"/>
            <w:vAlign w:val="center"/>
            <w:textDirection w:val="lrTb"/>
            <w:noWrap/>
          </w:tcPr>
          <w:p>
            <w:pPr>
              <w:pStyle w:val="801"/>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801"/>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801"/>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801"/>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801"/>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801"/>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801"/>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801"/>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801"/>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801"/>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801"/>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18" w:type="dxa"/>
            <w:vAlign w:val="center"/>
            <w:textDirection w:val="lrTb"/>
            <w:noWrap/>
          </w:tcPr>
          <w:p>
            <w:pPr>
              <w:pStyle w:val="801"/>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839" w:type="dxa"/>
            <w:vAlign w:val="center"/>
            <w:textDirection w:val="lrTb"/>
            <w:noWrap/>
          </w:tcPr>
          <w:p>
            <w:pPr>
              <w:pStyle w:val="801"/>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80"/>
        </w:trPr>
        <w:tc>
          <w:tcPr>
            <w:tcW w:w="898" w:type="dxa"/>
            <w:vAlign w:val="center"/>
            <w:textDirection w:val="lrTb"/>
            <w:noWrap/>
          </w:tcPr>
          <w:p>
            <w:pPr>
              <w:pStyle w:val="801"/>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1067" w:type="dxa"/>
            <w:vAlign w:val="center"/>
            <w:textDirection w:val="lrTb"/>
            <w:noWrap w:val="false"/>
          </w:tcPr>
          <w:p>
            <w:pPr>
              <w:pStyle w:val="801"/>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{清单项目名称}</w:t>
            </w:r>
            <w:r>
              <w:rPr>
                <w:rFonts w:hint="eastAsia" w:ascii="宋体" w:hAnsi="宋体" w:eastAsia="宋体" w:cs="宋体"/>
                <w:i w:val="0"/>
                <w:iCs w:val="0"/>
                <w:color w:val="000000"/>
                <w:sz w:val="21"/>
                <w:szCs w:val="21"/>
                <w:highlight w:val="none"/>
                <w:u w:val="none"/>
              </w:rPr>
            </w:r>
            <w:r/>
          </w:p>
        </w:tc>
        <w:tc>
          <w:tcPr>
            <w:tcW w:w="875" w:type="dxa"/>
            <w:vAlign w:val="center"/>
            <w:textDirection w:val="lrTb"/>
            <w:noWrap/>
          </w:tcPr>
          <w:p>
            <w:pPr>
              <w:pStyle w:val="801"/>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799" w:type="dxa"/>
            <w:vAlign w:val="center"/>
            <w:textDirection w:val="lrTb"/>
            <w:noWrap/>
          </w:tcPr>
          <w:p>
            <w:pPr>
              <w:pStyle w:val="801"/>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801"/>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801"/>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801"/>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801"/>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801"/>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801"/>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801"/>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801"/>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801"/>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801"/>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18" w:type="dxa"/>
            <w:vAlign w:val="center"/>
            <w:textDirection w:val="lrTb"/>
            <w:noWrap/>
          </w:tcPr>
          <w:p>
            <w:pPr>
              <w:pStyle w:val="801"/>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839" w:type="dxa"/>
            <w:vAlign w:val="center"/>
            <w:textDirection w:val="lrTb"/>
            <w:noWrap/>
          </w:tcPr>
          <w:p>
            <w:pPr>
              <w:pStyle w:val="801"/>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80"/>
        </w:trPr>
        <w:tc>
          <w:tcPr>
            <w:tcW w:w="898" w:type="dxa"/>
            <w:vAlign w:val="center"/>
            <w:textDirection w:val="lrTb"/>
            <w:noWrap/>
          </w:tcPr>
          <w:p>
            <w:pPr>
              <w:pStyle w:val="801"/>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w:t>
            </w:r>
            <w:r>
              <w:rPr>
                <w:rFonts w:hint="eastAsia" w:ascii="宋体" w:hAnsi="宋体" w:eastAsia="宋体" w:cs="宋体"/>
                <w:i w:val="0"/>
                <w:iCs w:val="0"/>
                <w:color w:val="000000"/>
                <w:sz w:val="21"/>
                <w:szCs w:val="21"/>
                <w:highlight w:val="none"/>
                <w:u w:val="none"/>
              </w:rPr>
            </w:r>
            <w:r/>
          </w:p>
        </w:tc>
        <w:tc>
          <w:tcPr>
            <w:tcW w:w="1067" w:type="dxa"/>
            <w:vAlign w:val="center"/>
            <w:textDirection w:val="lrTb"/>
            <w:noWrap w:val="false"/>
          </w:tcPr>
          <w:p>
            <w:pPr>
              <w:pStyle w:val="801"/>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{计价项目名称}</w:t>
            </w:r>
            <w:r>
              <w:rPr>
                <w:rFonts w:hint="eastAsia" w:ascii="宋体" w:hAnsi="宋体" w:eastAsia="宋体" w:cs="宋体"/>
                <w:i w:val="0"/>
                <w:iCs w:val="0"/>
                <w:color w:val="000000"/>
                <w:sz w:val="21"/>
                <w:szCs w:val="21"/>
                <w:highlight w:val="none"/>
                <w:u w:val="none"/>
              </w:rPr>
            </w:r>
            <w:r/>
          </w:p>
        </w:tc>
        <w:tc>
          <w:tcPr>
            <w:tcW w:w="875" w:type="dxa"/>
            <w:vAlign w:val="center"/>
            <w:textDirection w:val="lrTb"/>
            <w:noWrap/>
          </w:tcPr>
          <w:p>
            <w:pPr>
              <w:pStyle w:val="801"/>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799" w:type="dxa"/>
            <w:vAlign w:val="center"/>
            <w:textDirection w:val="lrTb"/>
            <w:noWrap/>
          </w:tcPr>
          <w:p>
            <w:pPr>
              <w:pStyle w:val="801"/>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801"/>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801"/>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801"/>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801"/>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801"/>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801"/>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801"/>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801"/>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801"/>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801"/>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18" w:type="dxa"/>
            <w:vAlign w:val="center"/>
            <w:textDirection w:val="lrTb"/>
            <w:noWrap/>
          </w:tcPr>
          <w:p>
            <w:pPr>
              <w:pStyle w:val="801"/>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839" w:type="dxa"/>
            <w:vAlign w:val="center"/>
            <w:textDirection w:val="lrTb"/>
            <w:noWrap/>
          </w:tcPr>
          <w:p>
            <w:pPr>
              <w:pStyle w:val="801"/>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tcW w:w="898" w:type="dxa"/>
            <w:vAlign w:val="center"/>
            <w:textDirection w:val="lrTb"/>
            <w:noWrap/>
          </w:tcPr>
          <w:p>
            <w:pPr>
              <w:pStyle w:val="801"/>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w:t>
            </w:r>
            <w:r>
              <w:rPr>
                <w:rFonts w:hint="eastAsia" w:ascii="宋体" w:hAnsi="宋体" w:eastAsia="宋体" w:cs="宋体"/>
                <w:i w:val="0"/>
                <w:iCs w:val="0"/>
                <w:color w:val="000000"/>
                <w:sz w:val="21"/>
                <w:szCs w:val="21"/>
                <w:highlight w:val="none"/>
                <w:u w:val="none"/>
              </w:rPr>
            </w:r>
            <w:r/>
          </w:p>
        </w:tc>
        <w:tc>
          <w:tcPr>
            <w:tcW w:w="1067" w:type="dxa"/>
            <w:vAlign w:val="center"/>
            <w:textDirection w:val="lrTb"/>
            <w:noWrap/>
          </w:tcPr>
          <w:p>
            <w:pPr>
              <w:pStyle w:val="801"/>
              <w:jc w:val="center"/>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875" w:type="dxa"/>
            <w:vAlign w:val="center"/>
            <w:textDirection w:val="lrTb"/>
            <w:noWrap/>
          </w:tcPr>
          <w:p>
            <w:pPr>
              <w:pStyle w:val="801"/>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799" w:type="dxa"/>
            <w:vAlign w:val="center"/>
            <w:textDirection w:val="lrTb"/>
            <w:noWrap/>
          </w:tcPr>
          <w:p>
            <w:pPr>
              <w:pStyle w:val="801"/>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801"/>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801"/>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801"/>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801"/>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801"/>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801"/>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801"/>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801"/>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801"/>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801"/>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18" w:type="dxa"/>
            <w:vAlign w:val="center"/>
            <w:textDirection w:val="lrTb"/>
            <w:noWrap/>
          </w:tcPr>
          <w:p>
            <w:pPr>
              <w:pStyle w:val="801"/>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839" w:type="dxa"/>
            <w:vAlign w:val="center"/>
            <w:textDirection w:val="lrTb"/>
            <w:noWrap/>
          </w:tcPr>
          <w:p>
            <w:pPr>
              <w:pStyle w:val="801"/>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tcW w:w="898" w:type="dxa"/>
            <w:vAlign w:val="center"/>
            <w:textDirection w:val="lrTb"/>
            <w:noWrap/>
          </w:tcPr>
          <w:p>
            <w:pPr>
              <w:pStyle w:val="801"/>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w:t>
            </w:r>
            <w:r>
              <w:rPr>
                <w:rFonts w:hint="eastAsia" w:ascii="宋体" w:hAnsi="宋体" w:eastAsia="宋体" w:cs="宋体"/>
                <w:i w:val="0"/>
                <w:iCs w:val="0"/>
                <w:color w:val="000000"/>
                <w:sz w:val="21"/>
                <w:szCs w:val="21"/>
                <w:highlight w:val="none"/>
                <w:u w:val="none"/>
              </w:rPr>
            </w:r>
            <w:r/>
          </w:p>
        </w:tc>
        <w:tc>
          <w:tcPr>
            <w:tcW w:w="1067" w:type="dxa"/>
            <w:vAlign w:val="center"/>
            <w:textDirection w:val="lrTb"/>
            <w:noWrap/>
          </w:tcPr>
          <w:p>
            <w:pPr>
              <w:pStyle w:val="801"/>
              <w:jc w:val="center"/>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875" w:type="dxa"/>
            <w:vAlign w:val="center"/>
            <w:textDirection w:val="lrTb"/>
            <w:noWrap/>
          </w:tcPr>
          <w:p>
            <w:pPr>
              <w:pStyle w:val="801"/>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799" w:type="dxa"/>
            <w:vAlign w:val="center"/>
            <w:textDirection w:val="lrTb"/>
            <w:noWrap/>
          </w:tcPr>
          <w:p>
            <w:pPr>
              <w:pStyle w:val="801"/>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801"/>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801"/>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801"/>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801"/>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801"/>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801"/>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801"/>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801"/>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801"/>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801"/>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18" w:type="dxa"/>
            <w:vAlign w:val="center"/>
            <w:textDirection w:val="lrTb"/>
            <w:noWrap/>
          </w:tcPr>
          <w:p>
            <w:pPr>
              <w:pStyle w:val="801"/>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839" w:type="dxa"/>
            <w:vAlign w:val="center"/>
            <w:textDirection w:val="lrTb"/>
            <w:noWrap/>
          </w:tcPr>
          <w:p>
            <w:pPr>
              <w:pStyle w:val="801"/>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tcW w:w="898" w:type="dxa"/>
            <w:vAlign w:val="center"/>
            <w:textDirection w:val="lrTb"/>
            <w:noWrap/>
          </w:tcPr>
          <w:p>
            <w:pPr>
              <w:pStyle w:val="801"/>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1067" w:type="dxa"/>
            <w:vAlign w:val="center"/>
            <w:textDirection w:val="lrTb"/>
            <w:noWrap/>
          </w:tcPr>
          <w:p>
            <w:pPr>
              <w:pStyle w:val="801"/>
              <w:jc w:val="center"/>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875" w:type="dxa"/>
            <w:vAlign w:val="center"/>
            <w:textDirection w:val="lrTb"/>
            <w:noWrap/>
          </w:tcPr>
          <w:p>
            <w:pPr>
              <w:pStyle w:val="801"/>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799" w:type="dxa"/>
            <w:vAlign w:val="center"/>
            <w:textDirection w:val="lrTb"/>
            <w:noWrap/>
          </w:tcPr>
          <w:p>
            <w:pPr>
              <w:pStyle w:val="801"/>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801"/>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801"/>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801"/>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801"/>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801"/>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801"/>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801"/>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801"/>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801"/>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801"/>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18" w:type="dxa"/>
            <w:vAlign w:val="center"/>
            <w:textDirection w:val="lrTb"/>
            <w:noWrap/>
          </w:tcPr>
          <w:p>
            <w:pPr>
              <w:pStyle w:val="801"/>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839" w:type="dxa"/>
            <w:vAlign w:val="center"/>
            <w:textDirection w:val="lrTb"/>
            <w:noWrap/>
          </w:tcPr>
          <w:p>
            <w:pPr>
              <w:pStyle w:val="801"/>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tcW w:w="898" w:type="dxa"/>
            <w:vAlign w:val="center"/>
            <w:textDirection w:val="lrTb"/>
            <w:noWrap/>
          </w:tcPr>
          <w:p>
            <w:pPr>
              <w:pStyle w:val="801"/>
              <w:jc w:val="center"/>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067" w:type="dxa"/>
            <w:vAlign w:val="center"/>
            <w:textDirection w:val="lrTb"/>
            <w:noWrap/>
          </w:tcPr>
          <w:p>
            <w:pPr>
              <w:pStyle w:val="801"/>
              <w:jc w:val="center"/>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875" w:type="dxa"/>
            <w:vAlign w:val="center"/>
            <w:textDirection w:val="lrTb"/>
            <w:noWrap/>
          </w:tcPr>
          <w:p>
            <w:pPr>
              <w:pStyle w:val="801"/>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799" w:type="dxa"/>
            <w:vAlign w:val="center"/>
            <w:textDirection w:val="lrTb"/>
            <w:noWrap/>
          </w:tcPr>
          <w:p>
            <w:pPr>
              <w:pStyle w:val="801"/>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801"/>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801"/>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801"/>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801"/>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801"/>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801"/>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801"/>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801"/>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801"/>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801"/>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18" w:type="dxa"/>
            <w:vAlign w:val="center"/>
            <w:textDirection w:val="lrTb"/>
            <w:noWrap/>
          </w:tcPr>
          <w:p>
            <w:pPr>
              <w:pStyle w:val="801"/>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839" w:type="dxa"/>
            <w:vAlign w:val="center"/>
            <w:textDirection w:val="lrTb"/>
            <w:noWrap/>
          </w:tcPr>
          <w:p>
            <w:pPr>
              <w:pStyle w:val="801"/>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tcW w:w="898" w:type="dxa"/>
            <w:vAlign w:val="center"/>
            <w:textDirection w:val="lrTb"/>
            <w:noWrap/>
          </w:tcPr>
          <w:p>
            <w:pPr>
              <w:pStyle w:val="801"/>
              <w:jc w:val="center"/>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067" w:type="dxa"/>
            <w:vAlign w:val="center"/>
            <w:textDirection w:val="lrTb"/>
            <w:noWrap/>
          </w:tcPr>
          <w:p>
            <w:pPr>
              <w:pStyle w:val="801"/>
              <w:jc w:val="center"/>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875" w:type="dxa"/>
            <w:vAlign w:val="center"/>
            <w:textDirection w:val="lrTb"/>
            <w:noWrap/>
          </w:tcPr>
          <w:p>
            <w:pPr>
              <w:pStyle w:val="801"/>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799" w:type="dxa"/>
            <w:vAlign w:val="center"/>
            <w:textDirection w:val="lrTb"/>
            <w:noWrap/>
          </w:tcPr>
          <w:p>
            <w:pPr>
              <w:pStyle w:val="801"/>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801"/>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801"/>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801"/>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801"/>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801"/>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801"/>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801"/>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801"/>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801"/>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801"/>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18" w:type="dxa"/>
            <w:vAlign w:val="center"/>
            <w:textDirection w:val="lrTb"/>
            <w:noWrap/>
          </w:tcPr>
          <w:p>
            <w:pPr>
              <w:pStyle w:val="801"/>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839" w:type="dxa"/>
            <w:vAlign w:val="center"/>
            <w:textDirection w:val="lrTb"/>
            <w:noWrap/>
          </w:tcPr>
          <w:p>
            <w:pPr>
              <w:pStyle w:val="801"/>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tcW w:w="898" w:type="dxa"/>
            <w:vAlign w:val="center"/>
            <w:textDirection w:val="lrTb"/>
            <w:noWrap/>
          </w:tcPr>
          <w:p>
            <w:pPr>
              <w:pStyle w:val="801"/>
              <w:jc w:val="center"/>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067" w:type="dxa"/>
            <w:vAlign w:val="center"/>
            <w:textDirection w:val="lrTb"/>
            <w:noWrap/>
          </w:tcPr>
          <w:p>
            <w:pPr>
              <w:pStyle w:val="801"/>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本页小计金额</w:t>
            </w:r>
            <w:r>
              <w:rPr>
                <w:rFonts w:hint="eastAsia" w:ascii="宋体" w:hAnsi="宋体" w:eastAsia="宋体" w:cs="宋体"/>
                <w:i w:val="0"/>
                <w:iCs w:val="0"/>
                <w:color w:val="000000"/>
                <w:sz w:val="21"/>
                <w:szCs w:val="21"/>
                <w:highlight w:val="none"/>
                <w:u w:val="none"/>
              </w:rPr>
            </w:r>
            <w:r/>
          </w:p>
        </w:tc>
        <w:tc>
          <w:tcPr>
            <w:tcW w:w="875" w:type="dxa"/>
            <w:vAlign w:val="center"/>
            <w:textDirection w:val="lrTb"/>
            <w:noWrap/>
          </w:tcPr>
          <w:p>
            <w:pPr>
              <w:pStyle w:val="801"/>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799" w:type="dxa"/>
            <w:vAlign w:val="center"/>
            <w:textDirection w:val="lrTb"/>
            <w:noWrap/>
          </w:tcPr>
          <w:p>
            <w:pPr>
              <w:pStyle w:val="801"/>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801"/>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801"/>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801"/>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801"/>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801"/>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801"/>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801"/>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801"/>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801"/>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801"/>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18" w:type="dxa"/>
            <w:vAlign w:val="center"/>
            <w:textDirection w:val="lrTb"/>
            <w:noWrap/>
          </w:tcPr>
          <w:p>
            <w:pPr>
              <w:pStyle w:val="801"/>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839" w:type="dxa"/>
            <w:vAlign w:val="center"/>
            <w:textDirection w:val="lrTb"/>
            <w:noWrap/>
          </w:tcPr>
          <w:p>
            <w:pPr>
              <w:pStyle w:val="801"/>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tcW w:w="898" w:type="dxa"/>
            <w:vAlign w:val="center"/>
            <w:textDirection w:val="lrTb"/>
            <w:noWrap/>
          </w:tcPr>
          <w:p>
            <w:pPr>
              <w:pStyle w:val="801"/>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tcW w:w="1942" w:type="dxa"/>
            <w:vAlign w:val="center"/>
            <w:textDirection w:val="lrTb"/>
            <w:noWrap/>
          </w:tcPr>
          <w:p>
            <w:pPr>
              <w:pStyle w:val="801"/>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累计总价金额</w:t>
            </w:r>
            <w:r>
              <w:rPr>
                <w:rFonts w:hint="eastAsia" w:ascii="宋体" w:hAnsi="宋体" w:eastAsia="宋体" w:cs="宋体"/>
                <w:i w:val="0"/>
                <w:iCs w:val="0"/>
                <w:color w:val="000000"/>
                <w:sz w:val="21"/>
                <w:szCs w:val="21"/>
                <w:highlight w:val="none"/>
                <w:u w:val="none"/>
              </w:rPr>
            </w:r>
            <w:r/>
          </w:p>
        </w:tc>
        <w:tc>
          <w:tcPr>
            <w:tcW w:w="799" w:type="dxa"/>
            <w:vAlign w:val="center"/>
            <w:textDirection w:val="lrTb"/>
            <w:noWrap/>
          </w:tcPr>
          <w:p>
            <w:pPr>
              <w:pStyle w:val="801"/>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801"/>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801"/>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801"/>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801"/>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801"/>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801"/>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801"/>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801"/>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801"/>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801"/>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18" w:type="dxa"/>
            <w:vAlign w:val="center"/>
            <w:textDirection w:val="lrTb"/>
            <w:noWrap/>
          </w:tcPr>
          <w:p>
            <w:pPr>
              <w:pStyle w:val="801"/>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839" w:type="dxa"/>
            <w:vAlign w:val="center"/>
            <w:textDirection w:val="lrTb"/>
            <w:noWrap/>
          </w:tcPr>
          <w:p>
            <w:pPr>
              <w:pStyle w:val="801"/>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bl>
    <w:p>
      <w:pPr>
        <w:pStyle w:val="801"/>
        <w:jc w:val="center"/>
        <w:spacing w:line="400" w:lineRule="exact"/>
        <w:rPr>
          <w:rFonts w:hint="eastAsia" w:ascii="宋体" w:hAnsi="宋体" w:eastAsia="宋体" w:cs="宋体"/>
          <w:b/>
          <w:color w:val="000000"/>
          <w:sz w:val="32"/>
          <w:szCs w:val="32"/>
          <w:highlight w:val="none"/>
          <w:lang w:val="en-US" w:eastAsia="zh-CN"/>
        </w:rPr>
        <w:outlineLvl w:val="2"/>
      </w:pPr>
      <w:r>
        <w:rPr>
          <w:rFonts w:hint="eastAsia" w:ascii="宋体" w:hAnsi="宋体" w:eastAsia="宋体" w:cs="宋体"/>
          <w:b/>
          <w:color w:val="000000"/>
          <w:sz w:val="32"/>
          <w:szCs w:val="32"/>
          <w:highlight w:val="none"/>
          <w:lang w:val="en-US" w:eastAsia="zh-CN"/>
        </w:rPr>
      </w:r>
      <w:r/>
    </w:p>
    <w:p>
      <w:pPr>
        <w:pStyle w:val="801"/>
        <w:jc w:val="center"/>
        <w:spacing w:line="400" w:lineRule="exact"/>
        <w:rPr>
          <w:rFonts w:hint="eastAsia" w:ascii="宋体" w:hAnsi="宋体" w:eastAsia="宋体" w:cs="宋体"/>
          <w:b/>
          <w:color w:val="000000"/>
          <w:sz w:val="32"/>
          <w:szCs w:val="32"/>
          <w:highlight w:val="none"/>
          <w:lang w:val="en-US" w:eastAsia="zh-CN"/>
        </w:rPr>
        <w:outlineLvl w:val="2"/>
      </w:pPr>
      <w:r>
        <w:rPr>
          <w:rFonts w:hint="eastAsia" w:ascii="宋体" w:hAnsi="宋体" w:eastAsia="宋体" w:cs="宋体"/>
          <w:b/>
          <w:color w:val="000000"/>
          <w:sz w:val="32"/>
          <w:szCs w:val="32"/>
          <w:highlight w:val="none"/>
          <w:lang w:val="en-US" w:eastAsia="zh-CN"/>
        </w:rPr>
      </w:r>
      <w:r/>
    </w:p>
    <w:p>
      <w:pPr>
        <w:pStyle w:val="801"/>
        <w:jc w:val="center"/>
        <w:spacing w:line="400" w:lineRule="exact"/>
        <w:rPr>
          <w:rFonts w:hint="eastAsia" w:ascii="宋体" w:hAnsi="宋体" w:eastAsia="宋体" w:cs="宋体"/>
          <w:b/>
          <w:color w:val="000000"/>
          <w:sz w:val="32"/>
          <w:szCs w:val="32"/>
          <w:highlight w:val="none"/>
          <w:lang w:val="en-US" w:eastAsia="zh-CN"/>
        </w:rPr>
        <w:outlineLvl w:val="2"/>
      </w:pPr>
      <w:r>
        <w:rPr>
          <w:rFonts w:hint="eastAsia" w:ascii="宋体" w:hAnsi="宋体" w:eastAsia="宋体" w:cs="宋体"/>
          <w:b/>
          <w:color w:val="000000"/>
          <w:sz w:val="32"/>
          <w:szCs w:val="32"/>
          <w:highlight w:val="none"/>
          <w:lang w:val="en-US" w:eastAsia="zh-CN"/>
        </w:rPr>
      </w:r>
      <w:r/>
    </w:p>
    <w:p>
      <w:pPr>
        <w:pStyle w:val="801"/>
        <w:jc w:val="center"/>
        <w:spacing w:line="400" w:lineRule="exact"/>
        <w:rPr>
          <w:rFonts w:hint="eastAsia" w:ascii="宋体" w:hAnsi="宋体" w:eastAsia="宋体" w:cs="宋体"/>
          <w:b/>
          <w:color w:val="000000"/>
          <w:sz w:val="32"/>
          <w:szCs w:val="32"/>
          <w:highlight w:val="none"/>
          <w:lang w:val="en-US" w:eastAsia="zh-CN"/>
        </w:rPr>
        <w:outlineLvl w:val="2"/>
      </w:pPr>
      <w:r>
        <w:rPr>
          <w:rFonts w:hint="eastAsia" w:ascii="宋体" w:hAnsi="宋体" w:eastAsia="宋体" w:cs="宋体"/>
          <w:b/>
          <w:color w:val="000000"/>
          <w:sz w:val="32"/>
          <w:szCs w:val="32"/>
          <w:highlight w:val="none"/>
          <w:lang w:val="en-US" w:eastAsia="zh-CN"/>
        </w:rPr>
      </w:r>
      <w:r/>
    </w:p>
    <w:p>
      <w:pPr>
        <w:pStyle w:val="801"/>
        <w:jc w:val="center"/>
        <w:spacing w:line="400" w:lineRule="exact"/>
        <w:rPr>
          <w:rFonts w:hint="eastAsia" w:ascii="宋体" w:hAnsi="宋体" w:eastAsia="宋体" w:cs="宋体"/>
          <w:b/>
          <w:color w:val="000000"/>
          <w:sz w:val="32"/>
          <w:szCs w:val="32"/>
          <w:highlight w:val="none"/>
          <w:lang w:val="en-US" w:eastAsia="zh-CN"/>
        </w:rPr>
        <w:outlineLvl w:val="2"/>
      </w:pPr>
      <w:r>
        <w:rPr>
          <w:rFonts w:hint="eastAsia" w:ascii="宋体" w:hAnsi="宋体" w:eastAsia="宋体" w:cs="宋体"/>
          <w:b/>
          <w:color w:val="000000"/>
          <w:sz w:val="32"/>
          <w:szCs w:val="32"/>
          <w:highlight w:val="none"/>
          <w:lang w:val="en-US" w:eastAsia="zh-CN"/>
        </w:rPr>
      </w:r>
      <w:r/>
    </w:p>
    <w:p>
      <w:pPr>
        <w:pStyle w:val="801"/>
        <w:jc w:val="center"/>
        <w:spacing w:line="400" w:lineRule="exact"/>
        <w:rPr>
          <w:rFonts w:hint="eastAsia" w:ascii="宋体" w:hAnsi="宋体" w:eastAsia="宋体" w:cs="宋体"/>
          <w:b/>
          <w:color w:val="000000"/>
          <w:sz w:val="32"/>
          <w:szCs w:val="32"/>
          <w:highlight w:val="none"/>
          <w:lang w:val="en-US" w:eastAsia="zh-CN"/>
        </w:rPr>
        <w:outlineLvl w:val="2"/>
      </w:pPr>
      <w:r>
        <w:rPr>
          <w:rFonts w:hint="eastAsia" w:ascii="宋体" w:hAnsi="宋体" w:eastAsia="宋体" w:cs="宋体"/>
          <w:b/>
          <w:color w:val="000000"/>
          <w:sz w:val="32"/>
          <w:szCs w:val="32"/>
          <w:highlight w:val="none"/>
          <w:lang w:val="en-US" w:eastAsia="zh-CN"/>
        </w:rPr>
      </w:r>
      <w:r/>
    </w:p>
    <w:p>
      <w:pPr>
        <w:pStyle w:val="801"/>
        <w:jc w:val="center"/>
        <w:spacing w:line="400" w:lineRule="exact"/>
        <w:rPr>
          <w:rFonts w:hint="eastAsia" w:ascii="宋体" w:hAnsi="宋体" w:eastAsia="宋体" w:cs="宋体"/>
          <w:b/>
          <w:color w:val="000000"/>
          <w:sz w:val="32"/>
          <w:szCs w:val="32"/>
          <w:highlight w:val="none"/>
          <w:lang w:val="en-US" w:eastAsia="zh-CN"/>
        </w:rPr>
        <w:outlineLvl w:val="2"/>
      </w:pPr>
      <w:r>
        <w:rPr>
          <w:rFonts w:hint="eastAsia" w:ascii="宋体" w:hAnsi="宋体" w:eastAsia="宋体" w:cs="宋体"/>
          <w:b/>
          <w:color w:val="000000"/>
          <w:sz w:val="32"/>
          <w:szCs w:val="32"/>
          <w:highlight w:val="none"/>
          <w:lang w:val="en-US" w:eastAsia="zh-CN"/>
        </w:rPr>
      </w:r>
      <w:r/>
    </w:p>
    <w:p>
      <w:pPr>
        <w:pStyle w:val="801"/>
        <w:jc w:val="center"/>
        <w:spacing w:line="400" w:lineRule="exact"/>
        <w:rPr>
          <w:rFonts w:hint="eastAsia" w:ascii="宋体" w:hAnsi="宋体" w:eastAsia="宋体" w:cs="宋体"/>
          <w:b/>
          <w:color w:val="000000"/>
          <w:sz w:val="32"/>
          <w:szCs w:val="32"/>
          <w:highlight w:val="none"/>
          <w:lang w:val="en-US" w:eastAsia="zh-CN"/>
        </w:rPr>
        <w:outlineLvl w:val="2"/>
      </w:pPr>
      <w:r>
        <w:rPr>
          <w:rFonts w:hint="eastAsia" w:ascii="宋体" w:hAnsi="宋体" w:eastAsia="宋体" w:cs="宋体"/>
          <w:b/>
          <w:color w:val="000000"/>
          <w:sz w:val="32"/>
          <w:szCs w:val="32"/>
          <w:highlight w:val="none"/>
          <w:lang w:val="en-US" w:eastAsia="zh-CN"/>
        </w:rPr>
      </w:r>
      <w:r/>
    </w:p>
    <w:p>
      <w:pPr>
        <w:pStyle w:val="801"/>
        <w:jc w:val="center"/>
        <w:spacing w:line="400" w:lineRule="exact"/>
        <w:rPr>
          <w:rFonts w:hint="eastAsia" w:ascii="宋体" w:hAnsi="宋体" w:eastAsia="宋体" w:cs="宋体"/>
          <w:b/>
          <w:color w:val="000000"/>
          <w:sz w:val="32"/>
          <w:szCs w:val="32"/>
          <w:highlight w:val="none"/>
          <w:lang w:val="en-US" w:eastAsia="zh-CN"/>
        </w:rPr>
        <w:outlineLvl w:val="2"/>
      </w:pPr>
      <w:r>
        <w:rPr>
          <w:rFonts w:hint="eastAsia" w:ascii="宋体" w:hAnsi="宋体" w:eastAsia="宋体" w:cs="宋体"/>
          <w:b/>
          <w:color w:val="000000"/>
          <w:sz w:val="32"/>
          <w:szCs w:val="32"/>
          <w:highlight w:val="none"/>
          <w:lang w:val="en-US" w:eastAsia="zh-CN"/>
        </w:rPr>
      </w:r>
      <w:r/>
    </w:p>
    <w:p>
      <w:pPr>
        <w:pStyle w:val="801"/>
        <w:jc w:val="center"/>
        <w:spacing w:line="400" w:lineRule="exact"/>
        <w:rPr>
          <w:rFonts w:hint="eastAsia" w:ascii="宋体" w:hAnsi="宋体" w:eastAsia="宋体" w:cs="宋体"/>
          <w:b/>
          <w:color w:val="000000"/>
          <w:sz w:val="32"/>
          <w:szCs w:val="32"/>
          <w:highlight w:val="none"/>
        </w:rPr>
        <w:outlineLvl w:val="2"/>
      </w:pPr>
      <w:r>
        <w:rPr>
          <w:rFonts w:hint="eastAsia" w:ascii="宋体" w:hAnsi="宋体" w:eastAsia="宋体" w:cs="宋体"/>
          <w:b/>
          <w:color w:val="000000"/>
          <w:sz w:val="32"/>
          <w:szCs w:val="32"/>
          <w:highlight w:val="none"/>
          <w:lang w:val="en-US" w:eastAsia="zh-CN"/>
        </w:rPr>
        <w:t xml:space="preserve">五</w:t>
      </w:r>
      <w:r>
        <w:rPr>
          <w:rFonts w:hint="eastAsia" w:ascii="宋体" w:hAnsi="宋体" w:eastAsia="宋体" w:cs="宋体"/>
          <w:b/>
          <w:color w:val="000000"/>
          <w:sz w:val="32"/>
          <w:szCs w:val="32"/>
          <w:highlight w:val="none"/>
        </w:rPr>
        <w:t xml:space="preserve">、施工组织设计</w:t>
      </w:r>
      <w:bookmarkEnd w:id="195"/>
      <w:r>
        <w:rPr>
          <w:rFonts w:hint="eastAsia" w:ascii="宋体" w:hAnsi="宋体" w:eastAsia="宋体" w:cs="宋体"/>
          <w:b/>
          <w:color w:val="000000"/>
          <w:sz w:val="32"/>
          <w:szCs w:val="32"/>
          <w:highlight w:val="none"/>
        </w:rPr>
      </w:r>
      <w:r/>
    </w:p>
    <w:p>
      <w:pPr>
        <w:pStyle w:val="801"/>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801"/>
        <w:jc w:val="left"/>
        <w:widowControl/>
        <w:rPr>
          <w:rFonts w:hint="eastAsia" w:ascii="宋体" w:hAnsi="宋体" w:eastAsia="宋体" w:cs="宋体"/>
          <w:color w:val="000000"/>
          <w:sz w:val="24"/>
          <w:szCs w:val="21"/>
          <w:highlight w:val="none"/>
        </w:rPr>
      </w:pPr>
      <w:r/>
      <w:bookmarkEnd w:id="192"/>
      <w:r/>
      <w:bookmarkEnd w:id="193"/>
      <w:r/>
      <w:bookmarkEnd w:id="194"/>
      <w:r/>
      <w:bookmarkStart w:id="196" w:name="_Toc503307482"/>
      <w:r/>
      <w:bookmarkStart w:id="197" w:name="_Toc432244534"/>
      <w:r/>
      <w:bookmarkStart w:id="198" w:name="_Toc503901984"/>
      <w:r>
        <w:rPr>
          <w:rFonts w:hint="eastAsia" w:ascii="宋体" w:hAnsi="宋体" w:eastAsia="宋体" w:cs="宋体"/>
          <w:color w:val="000000"/>
          <w:sz w:val="24"/>
          <w:szCs w:val="21"/>
          <w:highlight w:val="none"/>
        </w:rPr>
        <w:t xml:space="preserve">㈠总体施工方案</w:t>
      </w:r>
      <w:r>
        <w:rPr>
          <w:rFonts w:hint="eastAsia" w:ascii="宋体" w:hAnsi="宋体" w:eastAsia="宋体" w:cs="宋体"/>
          <w:color w:val="000000"/>
          <w:sz w:val="24"/>
          <w:szCs w:val="21"/>
          <w:highlight w:val="none"/>
        </w:rPr>
      </w:r>
      <w:r/>
    </w:p>
    <w:p>
      <w:pPr>
        <w:pStyle w:val="801"/>
        <w:jc w:val="left"/>
        <w:widowControl/>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㈡重、难点分析</w:t>
      </w:r>
      <w:r>
        <w:rPr>
          <w:rFonts w:hint="eastAsia" w:ascii="宋体" w:hAnsi="宋体" w:eastAsia="宋体" w:cs="宋体"/>
          <w:color w:val="000000"/>
          <w:sz w:val="24"/>
          <w:szCs w:val="21"/>
          <w:highlight w:val="none"/>
        </w:rPr>
      </w:r>
      <w:r/>
    </w:p>
    <w:p>
      <w:pPr>
        <w:pStyle w:val="801"/>
        <w:jc w:val="left"/>
        <w:widowControl/>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㈢安全保证措施</w:t>
      </w:r>
      <w:r>
        <w:rPr>
          <w:rFonts w:hint="eastAsia" w:ascii="宋体" w:hAnsi="宋体" w:eastAsia="宋体" w:cs="宋体"/>
          <w:color w:val="000000"/>
          <w:sz w:val="24"/>
          <w:szCs w:val="21"/>
          <w:highlight w:val="none"/>
        </w:rPr>
      </w:r>
      <w:r/>
    </w:p>
    <w:p>
      <w:pPr>
        <w:pStyle w:val="801"/>
        <w:jc w:val="left"/>
        <w:widowControl/>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㈣质量、进度、环保等措施及合理化建议</w:t>
      </w:r>
      <w:r>
        <w:rPr>
          <w:rFonts w:hint="eastAsia" w:ascii="宋体" w:hAnsi="宋体" w:eastAsia="宋体" w:cs="宋体"/>
          <w:color w:val="000000"/>
          <w:sz w:val="24"/>
          <w:szCs w:val="21"/>
          <w:highlight w:val="none"/>
        </w:rPr>
      </w:r>
      <w:r/>
    </w:p>
    <w:p>
      <w:pPr>
        <w:pStyle w:val="801"/>
        <w:jc w:val="left"/>
        <w:widowControl/>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w:t>
      </w:r>
      <w:r>
        <w:rPr>
          <w:rFonts w:hint="eastAsia" w:ascii="宋体" w:hAnsi="宋体" w:eastAsia="宋体" w:cs="宋体"/>
          <w:color w:val="000000"/>
          <w:sz w:val="24"/>
          <w:szCs w:val="21"/>
          <w:highlight w:val="none"/>
        </w:rPr>
      </w:r>
      <w:r/>
    </w:p>
    <w:p>
      <w:pPr>
        <w:pStyle w:val="801"/>
        <w:jc w:val="center"/>
        <w:widowControl/>
        <w:rPr>
          <w:rFonts w:hint="eastAsia" w:ascii="宋体" w:hAnsi="宋体" w:eastAsia="宋体" w:cs="宋体"/>
          <w:b/>
          <w:color w:val="000000"/>
          <w:sz w:val="32"/>
          <w:szCs w:val="32"/>
          <w:highlight w:val="none"/>
        </w:rPr>
      </w:pPr>
      <w:r>
        <w:rPr>
          <w:rFonts w:hint="eastAsia" w:ascii="宋体" w:hAnsi="宋体" w:eastAsia="宋体" w:cs="宋体"/>
          <w:color w:val="000000"/>
          <w:sz w:val="24"/>
          <w:szCs w:val="21"/>
          <w:highlight w:val="none"/>
        </w:rPr>
        <w:br w:type="page" w:clear="all"/>
      </w:r>
      <w:bookmarkStart w:id="199" w:name="_Toc211090875"/>
      <w:r>
        <w:rPr>
          <w:rFonts w:hint="eastAsia" w:ascii="宋体" w:hAnsi="宋体" w:eastAsia="宋体" w:cs="宋体"/>
          <w:b/>
          <w:color w:val="000000"/>
          <w:sz w:val="32"/>
          <w:szCs w:val="32"/>
          <w:highlight w:val="none"/>
          <w:lang w:val="en-US" w:eastAsia="zh-CN"/>
        </w:rPr>
        <w:t xml:space="preserve">六</w:t>
      </w:r>
      <w:r>
        <w:rPr>
          <w:rFonts w:hint="eastAsia" w:ascii="宋体" w:hAnsi="宋体" w:eastAsia="宋体" w:cs="宋体"/>
          <w:b/>
          <w:color w:val="000000"/>
          <w:sz w:val="32"/>
          <w:szCs w:val="32"/>
          <w:highlight w:val="none"/>
        </w:rPr>
        <w:t xml:space="preserve">、</w:t>
      </w:r>
      <w:bookmarkEnd w:id="196"/>
      <w:r/>
      <w:bookmarkEnd w:id="197"/>
      <w:r/>
      <w:bookmarkEnd w:id="198"/>
      <w:r>
        <w:rPr>
          <w:rFonts w:hint="eastAsia" w:ascii="宋体" w:hAnsi="宋体" w:eastAsia="宋体" w:cs="宋体"/>
          <w:b/>
          <w:color w:val="000000"/>
          <w:sz w:val="32"/>
          <w:szCs w:val="32"/>
          <w:highlight w:val="none"/>
        </w:rPr>
        <w:t xml:space="preserve">资格审查资料</w:t>
      </w:r>
      <w:bookmarkEnd w:id="199"/>
      <w:r>
        <w:rPr>
          <w:rFonts w:hint="eastAsia" w:ascii="宋体" w:hAnsi="宋体" w:eastAsia="宋体" w:cs="宋体"/>
          <w:b/>
          <w:color w:val="000000"/>
          <w:sz w:val="32"/>
          <w:szCs w:val="32"/>
          <w:highlight w:val="none"/>
        </w:rPr>
      </w:r>
      <w:r/>
    </w:p>
    <w:p>
      <w:pPr>
        <w:pStyle w:val="801"/>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01"/>
        <w:jc w:val="center"/>
        <w:spacing w:before="120"/>
        <w:tabs>
          <w:tab w:val="left" w:pos="5580" w:leader="none"/>
        </w:tabs>
        <w:rPr>
          <w:rFonts w:hint="eastAsia" w:ascii="宋体" w:hAnsi="宋体" w:eastAsia="宋体" w:cs="宋体"/>
          <w:b/>
          <w:color w:val="000000"/>
          <w:sz w:val="28"/>
          <w:szCs w:val="32"/>
          <w:highlight w:val="none"/>
        </w:rPr>
      </w:pPr>
      <w:r>
        <w:rPr>
          <w:rFonts w:hint="eastAsia" w:ascii="宋体" w:hAnsi="宋体" w:eastAsia="宋体" w:cs="宋体"/>
          <w:b/>
          <w:color w:val="000000"/>
          <w:sz w:val="28"/>
          <w:szCs w:val="32"/>
          <w:highlight w:val="none"/>
        </w:rPr>
        <w:t xml:space="preserve">政府采购信用承诺书</w:t>
      </w:r>
      <w:r>
        <w:rPr>
          <w:rFonts w:hint="eastAsia" w:ascii="宋体" w:hAnsi="宋体" w:eastAsia="宋体" w:cs="宋体"/>
          <w:b/>
          <w:color w:val="000000"/>
          <w:sz w:val="28"/>
          <w:szCs w:val="32"/>
          <w:highlight w:val="none"/>
        </w:rPr>
      </w:r>
      <w:r/>
    </w:p>
    <w:p>
      <w:pPr>
        <w:pStyle w:val="801"/>
        <w:ind w:firstLine="480"/>
        <w:tabs>
          <w:tab w:val="left" w:pos="55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我公司自愿参加贵中心（公司）组织的本次采购活动，严格遵守《中华人民共和国政府采购法》及相关法律法规，坚守公开、公平、公正和诚实信用的原则，依法诚信经营，无条件遵守本次政府采购活动的各项规定。</w:t>
      </w:r>
      <w:r>
        <w:rPr>
          <w:rFonts w:hint="eastAsia" w:ascii="宋体" w:hAnsi="宋体" w:eastAsia="宋体" w:cs="宋体"/>
          <w:color w:val="000000"/>
          <w:sz w:val="24"/>
          <w:highlight w:val="none"/>
        </w:rPr>
      </w:r>
      <w:r/>
    </w:p>
    <w:p>
      <w:pPr>
        <w:pStyle w:val="801"/>
        <w:ind w:firstLine="480"/>
        <w:tabs>
          <w:tab w:val="left" w:pos="55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w:t>
      </w:r>
      <w:r>
        <w:rPr>
          <w:rFonts w:hint="eastAsia" w:ascii="宋体" w:hAnsi="宋体" w:eastAsia="宋体" w:cs="宋体"/>
          <w:color w:val="000000"/>
          <w:sz w:val="24"/>
          <w:highlight w:val="none"/>
        </w:rPr>
      </w:r>
      <w:r/>
    </w:p>
    <w:p>
      <w:pPr>
        <w:pStyle w:val="801"/>
        <w:ind w:firstLine="480"/>
        <w:tabs>
          <w:tab w:val="left" w:pos="55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如有弄虚作假或其他违法违规行为，愿承担一切法律责任，接受各级政府采购监管部门和有权机关的审查和处罚。</w:t>
      </w:r>
      <w:r>
        <w:rPr>
          <w:rFonts w:hint="eastAsia" w:ascii="宋体" w:hAnsi="宋体" w:eastAsia="宋体" w:cs="宋体"/>
          <w:color w:val="000000"/>
          <w:sz w:val="24"/>
          <w:highlight w:val="none"/>
        </w:rPr>
      </w:r>
      <w:r/>
    </w:p>
    <w:p>
      <w:pPr>
        <w:pStyle w:val="801"/>
        <w:spacing w:before="120"/>
        <w:tabs>
          <w:tab w:val="left" w:pos="55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01"/>
        <w:spacing w:before="120"/>
        <w:tabs>
          <w:tab w:val="left" w:pos="55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01"/>
        <w:ind w:firstLine="384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投标人名称：</w:t>
      </w:r>
      <w:r>
        <w:rPr>
          <w:rFonts w:hint="eastAsia" w:ascii="宋体" w:hAnsi="宋体" w:eastAsia="宋体" w:cs="宋体"/>
          <w:color w:val="000000"/>
          <w:sz w:val="24"/>
          <w:szCs w:val="32"/>
          <w:highlight w:val="none"/>
          <w:u w:val="single"/>
        </w:rPr>
        <w:t xml:space="preserve">               </w:t>
      </w:r>
      <w:r>
        <w:rPr>
          <w:rFonts w:hint="eastAsia" w:ascii="宋体" w:hAnsi="宋体" w:eastAsia="宋体" w:cs="宋体"/>
          <w:color w:val="000000"/>
          <w:sz w:val="24"/>
          <w:szCs w:val="32"/>
          <w:highlight w:val="none"/>
        </w:rPr>
        <w:t xml:space="preserve">（加盖CA电子公章）</w:t>
      </w:r>
      <w:r>
        <w:rPr>
          <w:rFonts w:hint="eastAsia" w:ascii="宋体" w:hAnsi="宋体" w:eastAsia="宋体" w:cs="宋体"/>
          <w:color w:val="000000"/>
          <w:sz w:val="24"/>
          <w:szCs w:val="32"/>
          <w:highlight w:val="none"/>
        </w:rPr>
      </w:r>
      <w:r/>
    </w:p>
    <w:p>
      <w:pPr>
        <w:pStyle w:val="801"/>
        <w:ind w:firstLine="384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法定代表人：</w:t>
      </w:r>
      <w:r>
        <w:rPr>
          <w:rFonts w:hint="eastAsia" w:ascii="宋体" w:hAnsi="宋体" w:eastAsia="宋体" w:cs="宋体"/>
          <w:color w:val="000000"/>
          <w:sz w:val="24"/>
          <w:szCs w:val="32"/>
          <w:highlight w:val="none"/>
          <w:u w:val="single"/>
        </w:rPr>
        <w:t xml:space="preserve">               </w:t>
      </w:r>
      <w:r>
        <w:rPr>
          <w:rFonts w:hint="eastAsia" w:ascii="宋体" w:hAnsi="宋体" w:eastAsia="宋体" w:cs="宋体"/>
          <w:color w:val="000000"/>
          <w:sz w:val="24"/>
          <w:szCs w:val="32"/>
          <w:highlight w:val="none"/>
        </w:rPr>
        <w:t xml:space="preserve">（加盖CA电子签章）</w:t>
      </w:r>
      <w:r>
        <w:rPr>
          <w:rFonts w:hint="eastAsia" w:ascii="宋体" w:hAnsi="宋体" w:eastAsia="宋体" w:cs="宋体"/>
          <w:color w:val="000000"/>
          <w:sz w:val="24"/>
          <w:szCs w:val="32"/>
          <w:highlight w:val="none"/>
        </w:rPr>
      </w:r>
      <w:r/>
    </w:p>
    <w:p>
      <w:pPr>
        <w:pStyle w:val="801"/>
        <w:ind w:firstLine="3840"/>
        <w:jc w:val="left"/>
        <w:rPr>
          <w:rFonts w:hint="eastAsia" w:ascii="宋体" w:hAnsi="宋体" w:eastAsia="宋体" w:cs="宋体"/>
          <w:color w:val="000000"/>
          <w:sz w:val="24"/>
          <w:highlight w:val="none"/>
        </w:rPr>
      </w:pPr>
      <w:r>
        <w:rPr>
          <w:rFonts w:hint="eastAsia" w:ascii="宋体" w:hAnsi="宋体" w:eastAsia="宋体" w:cs="宋体"/>
          <w:color w:val="000000"/>
          <w:sz w:val="24"/>
          <w:szCs w:val="32"/>
          <w:highlight w:val="none"/>
        </w:rPr>
        <w:t xml:space="preserve">日    期：</w:t>
      </w:r>
      <w:r>
        <w:rPr>
          <w:rFonts w:hint="eastAsia" w:ascii="宋体" w:hAnsi="宋体" w:eastAsia="宋体" w:cs="宋体"/>
          <w:color w:val="000000"/>
          <w:sz w:val="24"/>
          <w:szCs w:val="32"/>
          <w:highlight w:val="none"/>
          <w:u w:val="single"/>
        </w:rPr>
        <w:t xml:space="preserve">       </w:t>
      </w:r>
      <w:r>
        <w:rPr>
          <w:rFonts w:hint="eastAsia" w:ascii="宋体" w:hAnsi="宋体" w:eastAsia="宋体" w:cs="宋体"/>
          <w:color w:val="000000"/>
          <w:sz w:val="24"/>
          <w:szCs w:val="32"/>
          <w:highlight w:val="none"/>
        </w:rPr>
        <w:t xml:space="preserve">年</w:t>
      </w:r>
      <w:r>
        <w:rPr>
          <w:rFonts w:hint="eastAsia" w:ascii="宋体" w:hAnsi="宋体" w:eastAsia="宋体" w:cs="宋体"/>
          <w:color w:val="000000"/>
          <w:sz w:val="24"/>
          <w:szCs w:val="32"/>
          <w:highlight w:val="none"/>
          <w:u w:val="single"/>
        </w:rPr>
        <w:t xml:space="preserve">    </w:t>
      </w:r>
      <w:r>
        <w:rPr>
          <w:rFonts w:hint="eastAsia" w:ascii="宋体" w:hAnsi="宋体" w:eastAsia="宋体" w:cs="宋体"/>
          <w:color w:val="000000"/>
          <w:sz w:val="24"/>
          <w:szCs w:val="32"/>
          <w:highlight w:val="none"/>
        </w:rPr>
        <w:t xml:space="preserve">月</w:t>
      </w:r>
      <w:r>
        <w:rPr>
          <w:rFonts w:hint="eastAsia" w:ascii="宋体" w:hAnsi="宋体" w:eastAsia="宋体" w:cs="宋体"/>
          <w:color w:val="000000"/>
          <w:sz w:val="24"/>
          <w:szCs w:val="32"/>
          <w:highlight w:val="none"/>
          <w:u w:val="single"/>
        </w:rPr>
        <w:t xml:space="preserve">    </w:t>
      </w:r>
      <w:r>
        <w:rPr>
          <w:rFonts w:hint="eastAsia" w:ascii="宋体" w:hAnsi="宋体" w:eastAsia="宋体" w:cs="宋体"/>
          <w:color w:val="000000"/>
          <w:sz w:val="24"/>
          <w:szCs w:val="32"/>
          <w:highlight w:val="none"/>
        </w:rPr>
        <w:t xml:space="preserve">日</w:t>
      </w:r>
      <w:r>
        <w:rPr>
          <w:rFonts w:hint="eastAsia" w:ascii="宋体" w:hAnsi="宋体" w:eastAsia="宋体" w:cs="宋体"/>
          <w:color w:val="000000"/>
          <w:sz w:val="24"/>
          <w:highlight w:val="none"/>
        </w:rPr>
      </w:r>
      <w:r/>
    </w:p>
    <w:p>
      <w:pPr>
        <w:pStyle w:val="801"/>
        <w:jc w:val="righ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801"/>
        <w:rPr>
          <w:rFonts w:hint="eastAsia" w:ascii="宋体" w:hAnsi="宋体" w:eastAsia="宋体" w:cs="宋体"/>
          <w:b/>
          <w:bCs/>
          <w:color w:val="000000"/>
          <w:sz w:val="24"/>
          <w:szCs w:val="24"/>
          <w:highlight w:val="none"/>
        </w:rPr>
      </w:pPr>
      <w:r>
        <w:rPr>
          <w:rFonts w:hint="eastAsia" w:ascii="宋体" w:hAnsi="宋体" w:eastAsia="宋体" w:cs="宋体"/>
          <w:b/>
          <w:color w:val="000000"/>
          <w:szCs w:val="21"/>
          <w:highlight w:val="none"/>
        </w:rPr>
        <w:br w:type="page" w:clear="all"/>
      </w:r>
      <w:r>
        <w:rPr>
          <w:rFonts w:hint="eastAsia" w:ascii="宋体" w:hAnsi="宋体" w:eastAsia="宋体" w:cs="宋体"/>
          <w:b/>
          <w:bCs/>
          <w:color w:val="000000"/>
          <w:sz w:val="24"/>
          <w:szCs w:val="24"/>
          <w:highlight w:val="none"/>
        </w:rPr>
        <w:t xml:space="preserve">招标人根据采购项目的特殊要求规定的特定条件需要填报的资料：</w:t>
      </w:r>
      <w:r>
        <w:rPr>
          <w:rFonts w:hint="eastAsia" w:ascii="宋体" w:hAnsi="宋体" w:eastAsia="宋体" w:cs="宋体"/>
          <w:b/>
          <w:bCs/>
          <w:color w:val="000000"/>
          <w:sz w:val="24"/>
          <w:szCs w:val="24"/>
          <w:highlight w:val="none"/>
        </w:rPr>
      </w:r>
      <w:r/>
    </w:p>
    <w:p>
      <w:pPr>
        <w:pStyle w:val="801"/>
        <w:rPr>
          <w:rFonts w:hint="eastAsia" w:ascii="宋体" w:hAnsi="宋体" w:eastAsia="宋体" w:cs="宋体"/>
          <w:b/>
          <w:color w:val="000000"/>
          <w:highlight w:val="none"/>
        </w:rPr>
      </w:pPr>
      <w:r>
        <w:rPr>
          <w:rFonts w:hint="eastAsia" w:ascii="宋体" w:hAnsi="宋体" w:eastAsia="宋体" w:cs="宋体"/>
          <w:b/>
          <w:color w:val="000000"/>
          <w:highlight w:val="none"/>
        </w:rPr>
      </w:r>
      <w:r/>
    </w:p>
    <w:p>
      <w:pPr>
        <w:pStyle w:val="801"/>
        <w:jc w:val="center"/>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表1  企业基本情况表</w:t>
      </w:r>
      <w:r>
        <w:rPr>
          <w:rFonts w:hint="eastAsia" w:ascii="宋体" w:hAnsi="宋体" w:eastAsia="宋体" w:cs="宋体"/>
          <w:color w:val="000000"/>
          <w:sz w:val="32"/>
          <w:szCs w:val="32"/>
          <w:highlight w:val="none"/>
        </w:rPr>
      </w:r>
      <w:r/>
    </w:p>
    <w:p>
      <w:pPr>
        <w:pStyle w:val="80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bl>
      <w:tblPr>
        <w:tblW w:w="8840"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700"/>
        <w:gridCol w:w="1080"/>
        <w:gridCol w:w="1820"/>
        <w:gridCol w:w="1380"/>
        <w:gridCol w:w="2860"/>
      </w:tblGrid>
      <w:tr>
        <w:trPr>
          <w:trHeight w:val="615"/>
        </w:trPr>
        <w:tc>
          <w:tcPr>
            <w:tcBorders>
              <w:top w:val="single" w:color="000000" w:sz="4" w:space="0"/>
              <w:left w:val="single" w:color="000000" w:sz="4" w:space="0"/>
              <w:bottom w:val="single" w:color="000000" w:sz="4" w:space="0"/>
              <w:right w:val="single" w:color="000000" w:sz="4" w:space="0"/>
            </w:tcBorders>
            <w:tcW w:w="1700" w:type="dxa"/>
            <w:vAlign w:val="center"/>
            <w:textDirection w:val="lrTb"/>
            <w:noWrap w:val="false"/>
          </w:tcPr>
          <w:p>
            <w:pPr>
              <w:pStyle w:val="801"/>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投标人名称</w:t>
            </w:r>
            <w:r>
              <w:rPr>
                <w:rFonts w:hint="eastAsia" w:ascii="宋体" w:hAnsi="宋体" w:eastAsia="宋体" w:cs="宋体"/>
                <w:color w:val="000000"/>
                <w:szCs w:val="21"/>
                <w:highlight w:val="none"/>
              </w:rPr>
            </w:r>
            <w:r/>
          </w:p>
        </w:tc>
        <w:tc>
          <w:tcPr>
            <w:gridSpan w:val="4"/>
            <w:tcBorders>
              <w:top w:val="single" w:color="000000" w:sz="4" w:space="0"/>
              <w:left w:val="none" w:color="000000" w:sz="4" w:space="0"/>
              <w:bottom w:val="single" w:color="000000" w:sz="4" w:space="0"/>
              <w:right w:val="single" w:color="000000" w:sz="4" w:space="0"/>
            </w:tcBorders>
            <w:tcW w:w="7140" w:type="dxa"/>
            <w:vAlign w:val="center"/>
            <w:textDirection w:val="lrTb"/>
            <w:noWrap w:val="false"/>
          </w:tcPr>
          <w:p>
            <w:pPr>
              <w:pStyle w:val="801"/>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tc>
      </w:tr>
      <w:tr>
        <w:trPr>
          <w:trHeight w:val="615"/>
        </w:trPr>
        <w:tc>
          <w:tcPr>
            <w:tcBorders>
              <w:top w:val="none" w:color="000000" w:sz="4" w:space="0"/>
              <w:left w:val="single" w:color="000000" w:sz="4" w:space="0"/>
              <w:bottom w:val="single" w:color="000000" w:sz="4" w:space="0"/>
              <w:right w:val="single" w:color="000000" w:sz="4" w:space="0"/>
            </w:tcBorders>
            <w:tcW w:w="1700" w:type="dxa"/>
            <w:vAlign w:val="center"/>
            <w:textDirection w:val="lrTb"/>
            <w:noWrap w:val="false"/>
          </w:tcPr>
          <w:p>
            <w:pPr>
              <w:pStyle w:val="801"/>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注册资金</w:t>
            </w:r>
            <w:r>
              <w:rPr>
                <w:rFonts w:hint="eastAsia" w:ascii="宋体" w:hAnsi="宋体" w:eastAsia="宋体" w:cs="宋体"/>
                <w:color w:val="000000"/>
                <w:szCs w:val="21"/>
                <w:highlight w:val="none"/>
              </w:rPr>
            </w:r>
            <w:r/>
          </w:p>
        </w:tc>
        <w:tc>
          <w:tcPr>
            <w:gridSpan w:val="2"/>
            <w:tcBorders>
              <w:top w:val="single" w:color="000000" w:sz="4" w:space="0"/>
              <w:left w:val="none" w:color="000000" w:sz="4" w:space="0"/>
              <w:bottom w:val="single" w:color="000000" w:sz="4" w:space="0"/>
              <w:right w:val="single" w:color="000000" w:sz="4" w:space="0"/>
            </w:tcBorders>
            <w:tcW w:w="2900" w:type="dxa"/>
            <w:vAlign w:val="center"/>
            <w:textDirection w:val="lrTb"/>
            <w:noWrap w:val="false"/>
          </w:tcPr>
          <w:p>
            <w:pPr>
              <w:pStyle w:val="801"/>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val="false"/>
          </w:tcPr>
          <w:p>
            <w:pPr>
              <w:pStyle w:val="801"/>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成立时间</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2860" w:type="dxa"/>
            <w:vAlign w:val="center"/>
            <w:textDirection w:val="lrTb"/>
            <w:noWrap w:val="false"/>
          </w:tcPr>
          <w:p>
            <w:pPr>
              <w:pStyle w:val="801"/>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tc>
      </w:tr>
      <w:tr>
        <w:trPr>
          <w:trHeight w:val="615"/>
        </w:trPr>
        <w:tc>
          <w:tcPr>
            <w:tcBorders>
              <w:top w:val="none" w:color="000000" w:sz="4" w:space="0"/>
              <w:left w:val="single" w:color="000000" w:sz="4" w:space="0"/>
              <w:bottom w:val="single" w:color="000000" w:sz="4" w:space="0"/>
              <w:right w:val="single" w:color="000000" w:sz="4" w:space="0"/>
            </w:tcBorders>
            <w:tcW w:w="1700" w:type="dxa"/>
            <w:vAlign w:val="center"/>
            <w:textDirection w:val="lrTb"/>
            <w:noWrap w:val="false"/>
          </w:tcPr>
          <w:p>
            <w:pPr>
              <w:pStyle w:val="801"/>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注册地址</w:t>
            </w:r>
            <w:r>
              <w:rPr>
                <w:rFonts w:hint="eastAsia" w:ascii="宋体" w:hAnsi="宋体" w:eastAsia="宋体" w:cs="宋体"/>
                <w:color w:val="000000"/>
                <w:szCs w:val="21"/>
                <w:highlight w:val="none"/>
              </w:rPr>
            </w:r>
            <w:r/>
          </w:p>
        </w:tc>
        <w:tc>
          <w:tcPr>
            <w:gridSpan w:val="2"/>
            <w:tcBorders>
              <w:top w:val="single" w:color="000000" w:sz="4" w:space="0"/>
              <w:left w:val="none" w:color="000000" w:sz="4" w:space="0"/>
              <w:bottom w:val="single" w:color="000000" w:sz="4" w:space="0"/>
              <w:right w:val="single" w:color="000000" w:sz="4" w:space="0"/>
            </w:tcBorders>
            <w:tcW w:w="2900" w:type="dxa"/>
            <w:vAlign w:val="center"/>
            <w:textDirection w:val="lrTb"/>
            <w:noWrap w:val="false"/>
          </w:tcPr>
          <w:p>
            <w:pPr>
              <w:pStyle w:val="801"/>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val="false"/>
          </w:tcPr>
          <w:p>
            <w:pPr>
              <w:pStyle w:val="801"/>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员工总数</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2860" w:type="dxa"/>
            <w:vAlign w:val="center"/>
            <w:textDirection w:val="lrTb"/>
            <w:noWrap w:val="false"/>
          </w:tcPr>
          <w:p>
            <w:pPr>
              <w:pStyle w:val="801"/>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tc>
      </w:tr>
      <w:tr>
        <w:trPr>
          <w:trHeight w:val="615"/>
        </w:trPr>
        <w:tc>
          <w:tcPr>
            <w:tcBorders>
              <w:top w:val="none" w:color="000000" w:sz="4" w:space="0"/>
              <w:left w:val="single" w:color="000000" w:sz="4" w:space="0"/>
              <w:bottom w:val="single" w:color="000000" w:sz="4" w:space="0"/>
              <w:right w:val="single" w:color="000000" w:sz="4" w:space="0"/>
            </w:tcBorders>
            <w:tcW w:w="1700" w:type="dxa"/>
            <w:vAlign w:val="center"/>
            <w:vMerge w:val="restart"/>
            <w:textDirection w:val="lrTb"/>
            <w:noWrap w:val="false"/>
          </w:tcPr>
          <w:p>
            <w:pPr>
              <w:pStyle w:val="801"/>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联系方式</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801"/>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联系人</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820" w:type="dxa"/>
            <w:vAlign w:val="center"/>
            <w:textDirection w:val="lrTb"/>
            <w:noWrap w:val="false"/>
          </w:tcPr>
          <w:p>
            <w:pPr>
              <w:pStyle w:val="801"/>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val="false"/>
          </w:tcPr>
          <w:p>
            <w:pPr>
              <w:pStyle w:val="801"/>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电话</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2860" w:type="dxa"/>
            <w:vAlign w:val="center"/>
            <w:textDirection w:val="lrTb"/>
            <w:noWrap w:val="false"/>
          </w:tcPr>
          <w:p>
            <w:pPr>
              <w:pStyle w:val="801"/>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tc>
      </w:tr>
      <w:tr>
        <w:trPr>
          <w:trHeight w:val="615"/>
        </w:trPr>
        <w:tc>
          <w:tcPr>
            <w:tcBorders>
              <w:top w:val="none" w:color="000000" w:sz="4" w:space="0"/>
              <w:left w:val="single" w:color="000000" w:sz="4" w:space="0"/>
              <w:bottom w:val="single" w:color="000000" w:sz="4" w:space="0"/>
              <w:right w:val="single" w:color="000000" w:sz="4" w:space="0"/>
            </w:tcBorders>
            <w:tcW w:w="1700" w:type="dxa"/>
            <w:vAlign w:val="center"/>
            <w:vMerge w:val="continue"/>
            <w:textDirection w:val="lrTb"/>
            <w:noWrap w:val="false"/>
          </w:tcPr>
          <w:p>
            <w:pPr>
              <w:pStyle w:val="801"/>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801"/>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传真</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820" w:type="dxa"/>
            <w:vAlign w:val="center"/>
            <w:textDirection w:val="lrTb"/>
            <w:noWrap w:val="false"/>
          </w:tcPr>
          <w:p>
            <w:pPr>
              <w:pStyle w:val="801"/>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val="false"/>
          </w:tcPr>
          <w:p>
            <w:pPr>
              <w:pStyle w:val="801"/>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邮箱</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2860" w:type="dxa"/>
            <w:vAlign w:val="center"/>
            <w:textDirection w:val="lrTb"/>
            <w:noWrap w:val="false"/>
          </w:tcPr>
          <w:p>
            <w:pPr>
              <w:pStyle w:val="801"/>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tc>
      </w:tr>
      <w:tr>
        <w:trPr>
          <w:trHeight w:val="615"/>
        </w:trPr>
        <w:tc>
          <w:tcPr>
            <w:tcBorders>
              <w:top w:val="none" w:color="000000" w:sz="4" w:space="0"/>
              <w:left w:val="single" w:color="000000" w:sz="4" w:space="0"/>
              <w:bottom w:val="single" w:color="000000" w:sz="4" w:space="0"/>
              <w:right w:val="single" w:color="000000" w:sz="4" w:space="0"/>
            </w:tcBorders>
            <w:tcW w:w="1700" w:type="dxa"/>
            <w:vAlign w:val="center"/>
            <w:textDirection w:val="lrTb"/>
            <w:noWrap w:val="false"/>
          </w:tcPr>
          <w:p>
            <w:pPr>
              <w:pStyle w:val="801"/>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法定代表人</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801"/>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姓名</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820" w:type="dxa"/>
            <w:vAlign w:val="center"/>
            <w:textDirection w:val="lrTb"/>
            <w:noWrap w:val="false"/>
          </w:tcPr>
          <w:p>
            <w:pPr>
              <w:pStyle w:val="801"/>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val="false"/>
          </w:tcPr>
          <w:p>
            <w:pPr>
              <w:pStyle w:val="801"/>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技术职称</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2860" w:type="dxa"/>
            <w:vAlign w:val="center"/>
            <w:textDirection w:val="lrTb"/>
            <w:noWrap w:val="false"/>
          </w:tcPr>
          <w:p>
            <w:pPr>
              <w:pStyle w:val="801"/>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tc>
      </w:tr>
      <w:tr>
        <w:trPr>
          <w:trHeight w:val="615"/>
        </w:trPr>
        <w:tc>
          <w:tcPr>
            <w:tcBorders>
              <w:top w:val="none" w:color="000000" w:sz="4" w:space="0"/>
              <w:left w:val="single" w:color="000000" w:sz="4" w:space="0"/>
              <w:bottom w:val="single" w:color="000000" w:sz="4" w:space="0"/>
              <w:right w:val="single" w:color="000000" w:sz="4" w:space="0"/>
            </w:tcBorders>
            <w:tcW w:w="1700" w:type="dxa"/>
            <w:vAlign w:val="center"/>
            <w:textDirection w:val="lrTb"/>
            <w:noWrap w:val="false"/>
          </w:tcPr>
          <w:p>
            <w:pPr>
              <w:pStyle w:val="801"/>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技术负责人</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801"/>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姓名</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820" w:type="dxa"/>
            <w:vAlign w:val="center"/>
            <w:textDirection w:val="lrTb"/>
            <w:noWrap w:val="false"/>
          </w:tcPr>
          <w:p>
            <w:pPr>
              <w:pStyle w:val="801"/>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val="false"/>
          </w:tcPr>
          <w:p>
            <w:pPr>
              <w:pStyle w:val="801"/>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技术职称</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2860" w:type="dxa"/>
            <w:vAlign w:val="center"/>
            <w:textDirection w:val="lrTb"/>
            <w:noWrap w:val="false"/>
          </w:tcPr>
          <w:p>
            <w:pPr>
              <w:pStyle w:val="801"/>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tc>
      </w:tr>
      <w:tr>
        <w:trPr>
          <w:trHeight w:val="830"/>
        </w:trPr>
        <w:tc>
          <w:tcPr>
            <w:tcBorders>
              <w:top w:val="none" w:color="000000" w:sz="4" w:space="0"/>
              <w:left w:val="single" w:color="000000" w:sz="4" w:space="0"/>
              <w:bottom w:val="single" w:color="000000" w:sz="4" w:space="0"/>
              <w:right w:val="single" w:color="000000" w:sz="4" w:space="0"/>
            </w:tcBorders>
            <w:tcW w:w="1700" w:type="dxa"/>
            <w:vAlign w:val="center"/>
            <w:textDirection w:val="lrTb"/>
            <w:noWrap w:val="false"/>
          </w:tcPr>
          <w:p>
            <w:pPr>
              <w:pStyle w:val="801"/>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基本账户     开户银行</w:t>
            </w:r>
            <w:r>
              <w:rPr>
                <w:rFonts w:hint="eastAsia" w:ascii="宋体" w:hAnsi="宋体" w:eastAsia="宋体" w:cs="宋体"/>
                <w:color w:val="000000"/>
                <w:szCs w:val="21"/>
                <w:highlight w:val="none"/>
              </w:rPr>
            </w:r>
            <w:r/>
          </w:p>
        </w:tc>
        <w:tc>
          <w:tcPr>
            <w:gridSpan w:val="2"/>
            <w:tcBorders>
              <w:top w:val="single" w:color="000000" w:sz="4" w:space="0"/>
              <w:left w:val="none" w:color="000000" w:sz="4" w:space="0"/>
              <w:bottom w:val="single" w:color="000000" w:sz="4" w:space="0"/>
              <w:right w:val="single" w:color="000000" w:sz="4" w:space="0"/>
            </w:tcBorders>
            <w:tcW w:w="2900" w:type="dxa"/>
            <w:vAlign w:val="center"/>
            <w:textDirection w:val="lrTb"/>
            <w:noWrap w:val="false"/>
          </w:tcPr>
          <w:p>
            <w:pPr>
              <w:pStyle w:val="801"/>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val="false"/>
          </w:tcPr>
          <w:p>
            <w:pPr>
              <w:pStyle w:val="801"/>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基本账户   银行账号</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2860" w:type="dxa"/>
            <w:vAlign w:val="center"/>
            <w:textDirection w:val="lrTb"/>
            <w:noWrap w:val="false"/>
          </w:tcPr>
          <w:p>
            <w:pPr>
              <w:pStyle w:val="801"/>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tc>
      </w:tr>
      <w:tr>
        <w:trPr>
          <w:trHeight w:val="1834"/>
        </w:trPr>
        <w:tc>
          <w:tcPr>
            <w:tcBorders>
              <w:top w:val="none" w:color="000000" w:sz="4" w:space="0"/>
              <w:left w:val="single" w:color="000000" w:sz="4" w:space="0"/>
              <w:bottom w:val="single" w:color="000000" w:sz="4" w:space="0"/>
              <w:right w:val="single" w:color="000000" w:sz="4" w:space="0"/>
            </w:tcBorders>
            <w:tcW w:w="1700" w:type="dxa"/>
            <w:vAlign w:val="center"/>
            <w:textDirection w:val="lrTb"/>
            <w:noWrap w:val="false"/>
          </w:tcPr>
          <w:p>
            <w:pPr>
              <w:pStyle w:val="801"/>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企业资质等级</w:t>
            </w:r>
            <w:r>
              <w:rPr>
                <w:rFonts w:hint="eastAsia" w:ascii="宋体" w:hAnsi="宋体" w:eastAsia="宋体" w:cs="宋体"/>
                <w:color w:val="000000"/>
                <w:szCs w:val="21"/>
                <w:highlight w:val="none"/>
              </w:rPr>
            </w:r>
            <w:r/>
          </w:p>
        </w:tc>
        <w:tc>
          <w:tcPr>
            <w:gridSpan w:val="4"/>
            <w:tcBorders>
              <w:top w:val="single" w:color="000000" w:sz="4" w:space="0"/>
              <w:left w:val="none" w:color="000000" w:sz="4" w:space="0"/>
              <w:bottom w:val="single" w:color="000000" w:sz="4" w:space="0"/>
              <w:right w:val="single" w:color="000000" w:sz="4" w:space="0"/>
            </w:tcBorders>
            <w:tcW w:w="7140" w:type="dxa"/>
            <w:vAlign w:val="center"/>
            <w:textDirection w:val="lrTb"/>
            <w:noWrap w:val="false"/>
          </w:tcPr>
          <w:p>
            <w:pPr>
              <w:pStyle w:val="801"/>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tc>
      </w:tr>
      <w:tr>
        <w:trPr>
          <w:trHeight w:val="2034"/>
        </w:trPr>
        <w:tc>
          <w:tcPr>
            <w:tcBorders>
              <w:top w:val="none" w:color="000000" w:sz="4" w:space="0"/>
              <w:left w:val="single" w:color="000000" w:sz="4" w:space="0"/>
              <w:bottom w:val="single" w:color="000000" w:sz="4" w:space="0"/>
              <w:right w:val="single" w:color="000000" w:sz="4" w:space="0"/>
            </w:tcBorders>
            <w:tcW w:w="1700" w:type="dxa"/>
            <w:vAlign w:val="center"/>
            <w:textDirection w:val="lrTb"/>
            <w:noWrap w:val="false"/>
          </w:tcPr>
          <w:p>
            <w:pPr>
              <w:pStyle w:val="801"/>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经营范围</w:t>
            </w:r>
            <w:r>
              <w:rPr>
                <w:rFonts w:hint="eastAsia" w:ascii="宋体" w:hAnsi="宋体" w:eastAsia="宋体" w:cs="宋体"/>
                <w:color w:val="000000"/>
                <w:szCs w:val="21"/>
                <w:highlight w:val="none"/>
              </w:rPr>
            </w:r>
            <w:r/>
          </w:p>
        </w:tc>
        <w:tc>
          <w:tcPr>
            <w:gridSpan w:val="4"/>
            <w:tcBorders>
              <w:top w:val="single" w:color="000000" w:sz="4" w:space="0"/>
              <w:left w:val="none" w:color="000000" w:sz="4" w:space="0"/>
              <w:bottom w:val="single" w:color="000000" w:sz="4" w:space="0"/>
              <w:right w:val="single" w:color="000000" w:sz="4" w:space="0"/>
            </w:tcBorders>
            <w:tcW w:w="7140" w:type="dxa"/>
            <w:vAlign w:val="center"/>
            <w:textDirection w:val="lrTb"/>
            <w:noWrap w:val="false"/>
          </w:tcPr>
          <w:p>
            <w:pPr>
              <w:pStyle w:val="801"/>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tc>
      </w:tr>
      <w:tr>
        <w:trPr>
          <w:trHeight w:val="522"/>
        </w:trPr>
        <w:tc>
          <w:tcPr>
            <w:tcBorders>
              <w:top w:val="none" w:color="000000" w:sz="4" w:space="0"/>
              <w:left w:val="single" w:color="000000" w:sz="4" w:space="0"/>
              <w:bottom w:val="single" w:color="000000" w:sz="4" w:space="0"/>
              <w:right w:val="single" w:color="000000" w:sz="4" w:space="0"/>
            </w:tcBorders>
            <w:tcW w:w="1700" w:type="dxa"/>
            <w:vAlign w:val="center"/>
            <w:textDirection w:val="lrTb"/>
            <w:noWrap w:val="false"/>
          </w:tcPr>
          <w:p>
            <w:pPr>
              <w:pStyle w:val="801"/>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备注</w:t>
            </w:r>
            <w:r>
              <w:rPr>
                <w:rFonts w:hint="eastAsia" w:ascii="宋体" w:hAnsi="宋体" w:eastAsia="宋体" w:cs="宋体"/>
                <w:color w:val="000000"/>
                <w:szCs w:val="21"/>
                <w:highlight w:val="none"/>
              </w:rPr>
            </w:r>
            <w:r/>
          </w:p>
        </w:tc>
        <w:tc>
          <w:tcPr>
            <w:gridSpan w:val="4"/>
            <w:tcBorders>
              <w:top w:val="single" w:color="000000" w:sz="4" w:space="0"/>
              <w:left w:val="none" w:color="000000" w:sz="4" w:space="0"/>
              <w:bottom w:val="single" w:color="000000" w:sz="4" w:space="0"/>
              <w:right w:val="single" w:color="000000" w:sz="4" w:space="0"/>
            </w:tcBorders>
            <w:tcW w:w="7140" w:type="dxa"/>
            <w:vAlign w:val="center"/>
            <w:textDirection w:val="lrTb"/>
            <w:noWrap w:val="false"/>
          </w:tcPr>
          <w:p>
            <w:pPr>
              <w:pStyle w:val="801"/>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tc>
      </w:tr>
    </w:tbl>
    <w:p>
      <w:pPr>
        <w:pStyle w:val="801"/>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01"/>
        <w:ind w:firstLine="422"/>
        <w:rPr>
          <w:rFonts w:hint="eastAsia" w:ascii="宋体" w:hAnsi="宋体" w:eastAsia="宋体" w:cs="宋体"/>
          <w:b/>
          <w:color w:val="000000"/>
          <w:highlight w:val="none"/>
        </w:rPr>
      </w:pPr>
      <w:r>
        <w:rPr>
          <w:rFonts w:hint="eastAsia" w:ascii="宋体" w:hAnsi="宋体" w:eastAsia="宋体" w:cs="宋体"/>
          <w:b/>
          <w:color w:val="000000"/>
          <w:highlight w:val="none"/>
        </w:rPr>
        <w:t xml:space="preserve">注：本表后附加盖企业公章的营业执照、资质证书、安全生产许可证等</w:t>
      </w:r>
      <w:r>
        <w:rPr>
          <w:rFonts w:hint="eastAsia" w:ascii="宋体" w:hAnsi="宋体" w:eastAsia="宋体" w:cs="宋体"/>
          <w:b/>
          <w:color w:val="000000"/>
          <w:highlight w:val="none"/>
          <w:lang w:val="en-US" w:eastAsia="zh-CN"/>
        </w:rPr>
        <w:t xml:space="preserve">扫</w:t>
      </w:r>
      <w:r>
        <w:rPr>
          <w:rFonts w:hint="eastAsia" w:ascii="宋体" w:hAnsi="宋体" w:eastAsia="宋体" w:cs="宋体"/>
          <w:b/>
          <w:color w:val="000000"/>
          <w:highlight w:val="none"/>
          <w:lang w:val="en-US" w:eastAsia="zh-CN"/>
        </w:rPr>
        <w:t xml:space="preserve">描</w:t>
      </w:r>
      <w:r>
        <w:rPr>
          <w:rFonts w:hint="eastAsia" w:ascii="宋体" w:hAnsi="宋体" w:eastAsia="宋体" w:cs="宋体"/>
          <w:b/>
          <w:color w:val="000000"/>
          <w:highlight w:val="none"/>
        </w:rPr>
        <w:t xml:space="preserve">件</w:t>
      </w:r>
      <w:r>
        <w:rPr>
          <w:rFonts w:hint="eastAsia" w:ascii="宋体" w:hAnsi="宋体" w:eastAsia="宋体" w:cs="宋体"/>
          <w:b/>
          <w:color w:val="000000"/>
          <w:highlight w:val="none"/>
          <w:lang w:val="en-US" w:eastAsia="zh-CN"/>
        </w:rPr>
        <w:t xml:space="preserve">加盖</w:t>
      </w:r>
      <w:r>
        <w:rPr>
          <w:rFonts w:hint="eastAsia" w:ascii="宋体" w:hAnsi="宋体" w:eastAsia="宋体" w:cs="宋体"/>
          <w:b/>
          <w:color w:val="000000"/>
          <w:highlight w:val="none"/>
        </w:rPr>
        <w:t xml:space="preserve">CA电子</w:t>
      </w:r>
      <w:r>
        <w:rPr>
          <w:rFonts w:hint="eastAsia" w:ascii="宋体" w:hAnsi="宋体" w:eastAsia="宋体" w:cs="宋体"/>
          <w:b/>
          <w:color w:val="000000"/>
          <w:highlight w:val="none"/>
          <w:lang w:val="en-US" w:eastAsia="zh-CN"/>
        </w:rPr>
        <w:t xml:space="preserve">签</w:t>
      </w:r>
      <w:r>
        <w:rPr>
          <w:rFonts w:hint="eastAsia" w:ascii="宋体" w:hAnsi="宋体" w:eastAsia="宋体" w:cs="宋体"/>
          <w:b/>
          <w:color w:val="000000"/>
          <w:highlight w:val="none"/>
        </w:rPr>
        <w:t xml:space="preserve">章。</w:t>
      </w:r>
      <w:r>
        <w:rPr>
          <w:rFonts w:hint="eastAsia" w:ascii="宋体" w:hAnsi="宋体" w:eastAsia="宋体" w:cs="宋体"/>
          <w:b/>
          <w:color w:val="000000"/>
          <w:highlight w:val="none"/>
        </w:rPr>
      </w:r>
      <w:r/>
    </w:p>
    <w:p>
      <w:pPr>
        <w:pStyle w:val="801"/>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01"/>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01"/>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01"/>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01"/>
        <w:jc w:val="center"/>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表2  拟参与本项目人员情况一览表</w:t>
      </w:r>
      <w:r>
        <w:rPr>
          <w:rFonts w:hint="eastAsia" w:ascii="宋体" w:hAnsi="宋体" w:eastAsia="宋体" w:cs="宋体"/>
          <w:color w:val="000000"/>
          <w:sz w:val="32"/>
          <w:szCs w:val="32"/>
          <w:highlight w:val="none"/>
        </w:rPr>
      </w:r>
      <w:r/>
    </w:p>
    <w:tbl>
      <w:tblPr>
        <w:tblW w:w="980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4"/>
        <w:gridCol w:w="1344"/>
        <w:gridCol w:w="1089"/>
        <w:gridCol w:w="1089"/>
        <w:gridCol w:w="1089"/>
        <w:gridCol w:w="1089"/>
        <w:gridCol w:w="1090"/>
        <w:gridCol w:w="1090"/>
        <w:gridCol w:w="1090"/>
      </w:tblGrid>
      <w:tr>
        <w:trPr>
          <w:trHeight w:val="428"/>
        </w:trPr>
        <w:tc>
          <w:tcPr>
            <w:tcW w:w="834" w:type="dxa"/>
            <w:vAlign w:val="center"/>
            <w:vMerge w:val="restart"/>
            <w:textDirection w:val="lrTb"/>
            <w:noWrap w:val="false"/>
          </w:tcPr>
          <w:p>
            <w:pPr>
              <w:pStyle w:val="801"/>
              <w:jc w:val="center"/>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rPr>
              <w:t xml:space="preserve">序号</w:t>
            </w:r>
            <w:r>
              <w:rPr>
                <w:rFonts w:hint="eastAsia" w:ascii="宋体" w:hAnsi="宋体" w:eastAsia="宋体" w:cs="宋体"/>
                <w:color w:val="000000"/>
                <w:sz w:val="21"/>
                <w:szCs w:val="21"/>
                <w:highlight w:val="none"/>
                <w:lang w:val="zh-CN"/>
              </w:rPr>
            </w:r>
            <w:r/>
          </w:p>
        </w:tc>
        <w:tc>
          <w:tcPr>
            <w:tcW w:w="1344" w:type="dxa"/>
            <w:vAlign w:val="center"/>
            <w:vMerge w:val="restart"/>
            <w:textDirection w:val="lrTb"/>
            <w:noWrap w:val="false"/>
          </w:tcPr>
          <w:p>
            <w:pPr>
              <w:pStyle w:val="801"/>
              <w:jc w:val="center"/>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rPr>
              <w:t xml:space="preserve">本项目任职</w:t>
            </w:r>
            <w:r>
              <w:rPr>
                <w:rFonts w:hint="eastAsia" w:ascii="宋体" w:hAnsi="宋体" w:eastAsia="宋体" w:cs="宋体"/>
                <w:color w:val="000000"/>
                <w:sz w:val="21"/>
                <w:szCs w:val="21"/>
                <w:highlight w:val="none"/>
                <w:lang w:val="zh-CN"/>
              </w:rPr>
            </w:r>
            <w:r/>
          </w:p>
        </w:tc>
        <w:tc>
          <w:tcPr>
            <w:tcW w:w="1089" w:type="dxa"/>
            <w:vAlign w:val="center"/>
            <w:vMerge w:val="restart"/>
            <w:textDirection w:val="lrTb"/>
            <w:noWrap w:val="false"/>
          </w:tcPr>
          <w:p>
            <w:pPr>
              <w:pStyle w:val="801"/>
              <w:jc w:val="center"/>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rPr>
              <w:t xml:space="preserve">姓名</w:t>
            </w:r>
            <w:r>
              <w:rPr>
                <w:rFonts w:hint="eastAsia" w:ascii="宋体" w:hAnsi="宋体" w:eastAsia="宋体" w:cs="宋体"/>
                <w:color w:val="000000"/>
                <w:sz w:val="21"/>
                <w:szCs w:val="21"/>
                <w:highlight w:val="none"/>
                <w:lang w:val="zh-CN"/>
              </w:rPr>
            </w:r>
            <w:r/>
          </w:p>
        </w:tc>
        <w:tc>
          <w:tcPr>
            <w:tcW w:w="1089" w:type="dxa"/>
            <w:vAlign w:val="center"/>
            <w:vMerge w:val="restart"/>
            <w:textDirection w:val="lrTb"/>
            <w:noWrap w:val="false"/>
          </w:tcPr>
          <w:p>
            <w:pPr>
              <w:pStyle w:val="801"/>
              <w:jc w:val="center"/>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rPr>
              <w:t xml:space="preserve">职称</w:t>
            </w:r>
            <w:r>
              <w:rPr>
                <w:rFonts w:hint="eastAsia" w:ascii="宋体" w:hAnsi="宋体" w:eastAsia="宋体" w:cs="宋体"/>
                <w:color w:val="000000"/>
                <w:sz w:val="21"/>
                <w:szCs w:val="21"/>
                <w:highlight w:val="none"/>
                <w:lang w:val="zh-CN"/>
              </w:rPr>
            </w:r>
            <w:r/>
          </w:p>
        </w:tc>
        <w:tc>
          <w:tcPr>
            <w:tcW w:w="1089" w:type="dxa"/>
            <w:vAlign w:val="center"/>
            <w:vMerge w:val="restart"/>
            <w:textDirection w:val="lrTb"/>
            <w:noWrap w:val="false"/>
          </w:tcPr>
          <w:p>
            <w:pPr>
              <w:pStyle w:val="801"/>
              <w:jc w:val="center"/>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rPr>
              <w:t xml:space="preserve">专业</w:t>
            </w:r>
            <w:r>
              <w:rPr>
                <w:rFonts w:hint="eastAsia" w:ascii="宋体" w:hAnsi="宋体" w:eastAsia="宋体" w:cs="宋体"/>
                <w:color w:val="000000"/>
                <w:sz w:val="21"/>
                <w:szCs w:val="21"/>
                <w:highlight w:val="none"/>
                <w:lang w:val="zh-CN"/>
              </w:rPr>
            </w:r>
            <w:r/>
          </w:p>
        </w:tc>
        <w:tc>
          <w:tcPr>
            <w:gridSpan w:val="3"/>
            <w:tcW w:w="3269" w:type="dxa"/>
            <w:vAlign w:val="center"/>
            <w:textDirection w:val="lrTb"/>
            <w:noWrap w:val="false"/>
          </w:tcPr>
          <w:p>
            <w:pPr>
              <w:pStyle w:val="801"/>
              <w:jc w:val="center"/>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执业或职业资格证明</w:t>
            </w:r>
            <w:r>
              <w:rPr>
                <w:rFonts w:hint="eastAsia" w:ascii="宋体" w:hAnsi="宋体" w:eastAsia="宋体" w:cs="宋体"/>
                <w:color w:val="000000"/>
                <w:sz w:val="21"/>
                <w:szCs w:val="21"/>
                <w:highlight w:val="none"/>
                <w:lang w:val="zh-CN"/>
              </w:rPr>
            </w:r>
            <w:r/>
          </w:p>
        </w:tc>
        <w:tc>
          <w:tcPr>
            <w:tcW w:w="1090" w:type="dxa"/>
            <w:vAlign w:val="center"/>
            <w:vMerge w:val="restart"/>
            <w:textDirection w:val="lrTb"/>
            <w:noWrap w:val="false"/>
          </w:tcPr>
          <w:p>
            <w:pPr>
              <w:pStyle w:val="801"/>
              <w:jc w:val="center"/>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备注</w:t>
            </w:r>
            <w:r>
              <w:rPr>
                <w:rFonts w:hint="eastAsia" w:ascii="宋体" w:hAnsi="宋体" w:eastAsia="宋体" w:cs="宋体"/>
                <w:color w:val="000000"/>
                <w:sz w:val="21"/>
                <w:szCs w:val="21"/>
                <w:highlight w:val="none"/>
                <w:lang w:val="zh-CN"/>
              </w:rPr>
            </w:r>
            <w:r/>
          </w:p>
        </w:tc>
      </w:tr>
      <w:tr>
        <w:trPr>
          <w:trHeight w:val="427"/>
        </w:trPr>
        <w:tc>
          <w:tcPr>
            <w:tcW w:w="834" w:type="dxa"/>
            <w:vAlign w:val="center"/>
            <w:vMerge w:val="continue"/>
            <w:textDirection w:val="lrTb"/>
            <w:noWrap w:val="false"/>
          </w:tcPr>
          <w:p>
            <w:pPr>
              <w:pStyle w:val="801"/>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44" w:type="dxa"/>
            <w:vAlign w:val="center"/>
            <w:vMerge w:val="continue"/>
            <w:textDirection w:val="lrTb"/>
            <w:noWrap w:val="false"/>
          </w:tcPr>
          <w:p>
            <w:pPr>
              <w:pStyle w:val="801"/>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89" w:type="dxa"/>
            <w:vAlign w:val="center"/>
            <w:vMerge w:val="continue"/>
            <w:textDirection w:val="lrTb"/>
            <w:noWrap w:val="false"/>
          </w:tcPr>
          <w:p>
            <w:pPr>
              <w:pStyle w:val="801"/>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89" w:type="dxa"/>
            <w:vAlign w:val="center"/>
            <w:vMerge w:val="continue"/>
            <w:textDirection w:val="lrTb"/>
            <w:noWrap w:val="false"/>
          </w:tcPr>
          <w:p>
            <w:pPr>
              <w:pStyle w:val="801"/>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89" w:type="dxa"/>
            <w:vAlign w:val="center"/>
            <w:vMerge w:val="continue"/>
            <w:textDirection w:val="lrTb"/>
            <w:noWrap w:val="false"/>
          </w:tcPr>
          <w:p>
            <w:pPr>
              <w:pStyle w:val="801"/>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89" w:type="dxa"/>
            <w:vAlign w:val="center"/>
            <w:textDirection w:val="lrTb"/>
            <w:noWrap w:val="false"/>
          </w:tcPr>
          <w:p>
            <w:pPr>
              <w:pStyle w:val="801"/>
              <w:jc w:val="center"/>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证书名称</w:t>
            </w:r>
            <w:r>
              <w:rPr>
                <w:rFonts w:hint="eastAsia" w:ascii="宋体" w:hAnsi="宋体" w:eastAsia="宋体" w:cs="宋体"/>
                <w:color w:val="000000"/>
                <w:sz w:val="21"/>
                <w:szCs w:val="21"/>
                <w:highlight w:val="none"/>
                <w:lang w:val="zh-CN"/>
              </w:rPr>
            </w:r>
            <w:r/>
          </w:p>
        </w:tc>
        <w:tc>
          <w:tcPr>
            <w:tcW w:w="1090" w:type="dxa"/>
            <w:vAlign w:val="center"/>
            <w:textDirection w:val="lrTb"/>
            <w:noWrap w:val="false"/>
          </w:tcPr>
          <w:p>
            <w:pPr>
              <w:pStyle w:val="801"/>
              <w:jc w:val="center"/>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级别</w:t>
            </w:r>
            <w:r>
              <w:rPr>
                <w:rFonts w:hint="eastAsia" w:ascii="宋体" w:hAnsi="宋体" w:eastAsia="宋体" w:cs="宋体"/>
                <w:color w:val="000000"/>
                <w:sz w:val="21"/>
                <w:szCs w:val="21"/>
                <w:highlight w:val="none"/>
                <w:lang w:val="zh-CN"/>
              </w:rPr>
            </w:r>
            <w:r/>
          </w:p>
        </w:tc>
        <w:tc>
          <w:tcPr>
            <w:tcW w:w="1090" w:type="dxa"/>
            <w:vAlign w:val="center"/>
            <w:textDirection w:val="lrTb"/>
            <w:noWrap w:val="false"/>
          </w:tcPr>
          <w:p>
            <w:pPr>
              <w:pStyle w:val="801"/>
              <w:jc w:val="center"/>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证号</w:t>
            </w:r>
            <w:r>
              <w:rPr>
                <w:rFonts w:hint="eastAsia" w:ascii="宋体" w:hAnsi="宋体" w:eastAsia="宋体" w:cs="宋体"/>
                <w:color w:val="000000"/>
                <w:sz w:val="21"/>
                <w:szCs w:val="21"/>
                <w:highlight w:val="none"/>
                <w:lang w:val="zh-CN"/>
              </w:rPr>
            </w:r>
            <w:r/>
          </w:p>
        </w:tc>
        <w:tc>
          <w:tcPr>
            <w:tcW w:w="1090" w:type="dxa"/>
            <w:vAlign w:val="center"/>
            <w:vMerge w:val="continue"/>
            <w:textDirection w:val="lrTb"/>
            <w:noWrap w:val="false"/>
          </w:tcPr>
          <w:p>
            <w:pPr>
              <w:pStyle w:val="801"/>
              <w:jc w:val="center"/>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r>
      <w:tr>
        <w:trPr>
          <w:trHeight w:val="584"/>
        </w:trPr>
        <w:tc>
          <w:tcPr>
            <w:tcW w:w="834" w:type="dxa"/>
            <w:vAlign w:val="center"/>
            <w:textDirection w:val="lrTb"/>
            <w:noWrap w:val="false"/>
          </w:tcPr>
          <w:p>
            <w:pPr>
              <w:pStyle w:val="801"/>
              <w:jc w:val="center"/>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1</w:t>
            </w:r>
            <w:r>
              <w:rPr>
                <w:rFonts w:hint="eastAsia" w:ascii="宋体" w:hAnsi="宋体" w:eastAsia="宋体" w:cs="宋体"/>
                <w:color w:val="000000"/>
                <w:sz w:val="21"/>
                <w:szCs w:val="21"/>
                <w:highlight w:val="none"/>
                <w:lang w:val="zh-CN"/>
              </w:rPr>
            </w:r>
            <w:r/>
          </w:p>
        </w:tc>
        <w:tc>
          <w:tcPr>
            <w:tcW w:w="1344" w:type="dxa"/>
            <w:vAlign w:val="center"/>
            <w:textDirection w:val="lrTb"/>
            <w:noWrap w:val="false"/>
          </w:tcPr>
          <w:p>
            <w:pPr>
              <w:pStyle w:val="801"/>
              <w:jc w:val="center"/>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项目经理</w:t>
            </w:r>
            <w:r>
              <w:rPr>
                <w:rFonts w:hint="eastAsia" w:ascii="宋体" w:hAnsi="宋体" w:eastAsia="宋体" w:cs="宋体"/>
                <w:color w:val="000000"/>
                <w:sz w:val="21"/>
                <w:szCs w:val="21"/>
                <w:highlight w:val="none"/>
                <w:lang w:val="zh-CN"/>
              </w:rPr>
            </w:r>
            <w:r/>
          </w:p>
        </w:tc>
        <w:tc>
          <w:tcPr>
            <w:tcW w:w="1089" w:type="dxa"/>
            <w:vAlign w:val="center"/>
            <w:textDirection w:val="lrTb"/>
            <w:noWrap w:val="false"/>
          </w:tcPr>
          <w:p>
            <w:pPr>
              <w:pStyle w:val="801"/>
              <w:jc w:val="center"/>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1089" w:type="dxa"/>
            <w:vAlign w:val="center"/>
            <w:textDirection w:val="lrTb"/>
            <w:noWrap w:val="false"/>
          </w:tcPr>
          <w:p>
            <w:pPr>
              <w:pStyle w:val="801"/>
              <w:jc w:val="center"/>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1089" w:type="dxa"/>
            <w:vAlign w:val="center"/>
            <w:textDirection w:val="lrTb"/>
            <w:noWrap w:val="false"/>
          </w:tcPr>
          <w:p>
            <w:pPr>
              <w:pStyle w:val="801"/>
              <w:jc w:val="center"/>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1089" w:type="dxa"/>
            <w:vAlign w:val="center"/>
            <w:textDirection w:val="lrTb"/>
            <w:noWrap w:val="false"/>
          </w:tcPr>
          <w:p>
            <w:pPr>
              <w:pStyle w:val="801"/>
              <w:jc w:val="center"/>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1090" w:type="dxa"/>
            <w:vAlign w:val="center"/>
            <w:textDirection w:val="lrTb"/>
            <w:noWrap w:val="false"/>
          </w:tcPr>
          <w:p>
            <w:pPr>
              <w:pStyle w:val="801"/>
              <w:jc w:val="center"/>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1090" w:type="dxa"/>
            <w:vAlign w:val="center"/>
            <w:textDirection w:val="lrTb"/>
            <w:noWrap w:val="false"/>
          </w:tcPr>
          <w:p>
            <w:pPr>
              <w:pStyle w:val="801"/>
              <w:jc w:val="center"/>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1090" w:type="dxa"/>
            <w:vAlign w:val="center"/>
            <w:textDirection w:val="lrTb"/>
            <w:noWrap w:val="false"/>
          </w:tcPr>
          <w:p>
            <w:pPr>
              <w:pStyle w:val="801"/>
              <w:jc w:val="center"/>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r>
      <w:tr>
        <w:trPr>
          <w:trHeight w:val="584"/>
        </w:trPr>
        <w:tc>
          <w:tcPr>
            <w:tcW w:w="834" w:type="dxa"/>
            <w:vAlign w:val="center"/>
            <w:textDirection w:val="lrTb"/>
            <w:noWrap w:val="false"/>
          </w:tcPr>
          <w:p>
            <w:pPr>
              <w:pStyle w:val="801"/>
              <w:jc w:val="center"/>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w:t>
            </w:r>
            <w:r>
              <w:rPr>
                <w:rFonts w:hint="eastAsia" w:ascii="宋体" w:hAnsi="宋体" w:eastAsia="宋体" w:cs="宋体"/>
                <w:color w:val="000000"/>
                <w:sz w:val="21"/>
                <w:szCs w:val="21"/>
                <w:highlight w:val="none"/>
                <w:lang w:val="zh-CN"/>
              </w:rPr>
            </w:r>
            <w:r/>
          </w:p>
        </w:tc>
        <w:tc>
          <w:tcPr>
            <w:tcW w:w="1344" w:type="dxa"/>
            <w:vAlign w:val="center"/>
            <w:textDirection w:val="lrTb"/>
            <w:noWrap w:val="false"/>
          </w:tcPr>
          <w:p>
            <w:pPr>
              <w:pStyle w:val="801"/>
              <w:jc w:val="center"/>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专职安全员</w:t>
            </w:r>
            <w:r>
              <w:rPr>
                <w:rFonts w:hint="eastAsia" w:ascii="宋体" w:hAnsi="宋体" w:eastAsia="宋体" w:cs="宋体"/>
                <w:color w:val="000000"/>
                <w:sz w:val="21"/>
                <w:szCs w:val="21"/>
                <w:highlight w:val="none"/>
                <w:lang w:val="zh-CN"/>
              </w:rPr>
            </w:r>
            <w:r/>
          </w:p>
        </w:tc>
        <w:tc>
          <w:tcPr>
            <w:tcW w:w="1089" w:type="dxa"/>
            <w:vAlign w:val="center"/>
            <w:textDirection w:val="lrTb"/>
            <w:noWrap w:val="false"/>
          </w:tcPr>
          <w:p>
            <w:pPr>
              <w:pStyle w:val="801"/>
              <w:jc w:val="center"/>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1089" w:type="dxa"/>
            <w:vAlign w:val="center"/>
            <w:textDirection w:val="lrTb"/>
            <w:noWrap w:val="false"/>
          </w:tcPr>
          <w:p>
            <w:pPr>
              <w:pStyle w:val="801"/>
              <w:jc w:val="center"/>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1089" w:type="dxa"/>
            <w:vAlign w:val="center"/>
            <w:textDirection w:val="lrTb"/>
            <w:noWrap w:val="false"/>
          </w:tcPr>
          <w:p>
            <w:pPr>
              <w:pStyle w:val="801"/>
              <w:jc w:val="center"/>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1089" w:type="dxa"/>
            <w:vAlign w:val="center"/>
            <w:textDirection w:val="lrTb"/>
            <w:noWrap w:val="false"/>
          </w:tcPr>
          <w:p>
            <w:pPr>
              <w:pStyle w:val="801"/>
              <w:jc w:val="center"/>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1090" w:type="dxa"/>
            <w:vAlign w:val="center"/>
            <w:textDirection w:val="lrTb"/>
            <w:noWrap w:val="false"/>
          </w:tcPr>
          <w:p>
            <w:pPr>
              <w:pStyle w:val="801"/>
              <w:jc w:val="center"/>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1090" w:type="dxa"/>
            <w:vAlign w:val="center"/>
            <w:textDirection w:val="lrTb"/>
            <w:noWrap w:val="false"/>
          </w:tcPr>
          <w:p>
            <w:pPr>
              <w:pStyle w:val="801"/>
              <w:jc w:val="center"/>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1090" w:type="dxa"/>
            <w:vAlign w:val="center"/>
            <w:textDirection w:val="lrTb"/>
            <w:noWrap w:val="false"/>
          </w:tcPr>
          <w:p>
            <w:pPr>
              <w:pStyle w:val="801"/>
              <w:jc w:val="center"/>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r>
      <w:tr>
        <w:trPr>
          <w:trHeight w:val="584"/>
        </w:trPr>
        <w:tc>
          <w:tcPr>
            <w:tcW w:w="834" w:type="dxa"/>
            <w:vAlign w:val="center"/>
            <w:textDirection w:val="lrTb"/>
            <w:noWrap w:val="false"/>
          </w:tcPr>
          <w:p>
            <w:pPr>
              <w:pStyle w:val="801"/>
              <w:jc w:val="center"/>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3</w:t>
            </w:r>
            <w:r>
              <w:rPr>
                <w:rFonts w:hint="eastAsia" w:ascii="宋体" w:hAnsi="宋体" w:eastAsia="宋体" w:cs="宋体"/>
                <w:color w:val="000000"/>
                <w:sz w:val="21"/>
                <w:szCs w:val="21"/>
                <w:highlight w:val="none"/>
                <w:lang w:val="zh-CN"/>
              </w:rPr>
            </w:r>
            <w:r/>
          </w:p>
        </w:tc>
        <w:tc>
          <w:tcPr>
            <w:tcW w:w="1344" w:type="dxa"/>
            <w:vAlign w:val="center"/>
            <w:textDirection w:val="lrTb"/>
            <w:noWrap w:val="false"/>
          </w:tcPr>
          <w:p>
            <w:pPr>
              <w:pStyle w:val="801"/>
              <w:jc w:val="center"/>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zh-CN"/>
              </w:rPr>
            </w:r>
            <w:r/>
          </w:p>
        </w:tc>
        <w:tc>
          <w:tcPr>
            <w:tcW w:w="1089" w:type="dxa"/>
            <w:vAlign w:val="center"/>
            <w:textDirection w:val="lrTb"/>
            <w:noWrap w:val="false"/>
          </w:tcPr>
          <w:p>
            <w:pPr>
              <w:pStyle w:val="801"/>
              <w:jc w:val="center"/>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1089" w:type="dxa"/>
            <w:vAlign w:val="center"/>
            <w:textDirection w:val="lrTb"/>
            <w:noWrap w:val="false"/>
          </w:tcPr>
          <w:p>
            <w:pPr>
              <w:pStyle w:val="801"/>
              <w:jc w:val="center"/>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1089" w:type="dxa"/>
            <w:vAlign w:val="center"/>
            <w:textDirection w:val="lrTb"/>
            <w:noWrap w:val="false"/>
          </w:tcPr>
          <w:p>
            <w:pPr>
              <w:pStyle w:val="801"/>
              <w:jc w:val="center"/>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1089" w:type="dxa"/>
            <w:vAlign w:val="center"/>
            <w:textDirection w:val="lrTb"/>
            <w:noWrap w:val="false"/>
          </w:tcPr>
          <w:p>
            <w:pPr>
              <w:pStyle w:val="801"/>
              <w:jc w:val="center"/>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1090" w:type="dxa"/>
            <w:vAlign w:val="center"/>
            <w:textDirection w:val="lrTb"/>
            <w:noWrap w:val="false"/>
          </w:tcPr>
          <w:p>
            <w:pPr>
              <w:pStyle w:val="801"/>
              <w:jc w:val="center"/>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1090" w:type="dxa"/>
            <w:vAlign w:val="center"/>
            <w:textDirection w:val="lrTb"/>
            <w:noWrap w:val="false"/>
          </w:tcPr>
          <w:p>
            <w:pPr>
              <w:pStyle w:val="801"/>
              <w:jc w:val="center"/>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1090" w:type="dxa"/>
            <w:vAlign w:val="center"/>
            <w:textDirection w:val="lrTb"/>
            <w:noWrap w:val="false"/>
          </w:tcPr>
          <w:p>
            <w:pPr>
              <w:pStyle w:val="801"/>
              <w:jc w:val="center"/>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r>
      <w:tr>
        <w:trPr>
          <w:trHeight w:val="584"/>
        </w:trPr>
        <w:tc>
          <w:tcPr>
            <w:tcW w:w="834" w:type="dxa"/>
            <w:vAlign w:val="center"/>
            <w:textDirection w:val="lrTb"/>
            <w:noWrap w:val="false"/>
          </w:tcPr>
          <w:p>
            <w:pPr>
              <w:pStyle w:val="801"/>
              <w:jc w:val="center"/>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zh-CN"/>
              </w:rPr>
            </w:r>
            <w:r/>
          </w:p>
        </w:tc>
        <w:tc>
          <w:tcPr>
            <w:tcW w:w="1344" w:type="dxa"/>
            <w:vAlign w:val="center"/>
            <w:textDirection w:val="lrTb"/>
            <w:noWrap w:val="false"/>
          </w:tcPr>
          <w:p>
            <w:pPr>
              <w:pStyle w:val="801"/>
              <w:jc w:val="center"/>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zh-CN"/>
              </w:rPr>
            </w:r>
            <w:r/>
          </w:p>
        </w:tc>
        <w:tc>
          <w:tcPr>
            <w:tcW w:w="1089" w:type="dxa"/>
            <w:vAlign w:val="center"/>
            <w:textDirection w:val="lrTb"/>
            <w:noWrap w:val="false"/>
          </w:tcPr>
          <w:p>
            <w:pPr>
              <w:pStyle w:val="801"/>
              <w:jc w:val="center"/>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1089" w:type="dxa"/>
            <w:vAlign w:val="center"/>
            <w:textDirection w:val="lrTb"/>
            <w:noWrap w:val="false"/>
          </w:tcPr>
          <w:p>
            <w:pPr>
              <w:pStyle w:val="801"/>
              <w:jc w:val="center"/>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1089" w:type="dxa"/>
            <w:vAlign w:val="center"/>
            <w:textDirection w:val="lrTb"/>
            <w:noWrap w:val="false"/>
          </w:tcPr>
          <w:p>
            <w:pPr>
              <w:pStyle w:val="801"/>
              <w:jc w:val="center"/>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1089" w:type="dxa"/>
            <w:vAlign w:val="center"/>
            <w:textDirection w:val="lrTb"/>
            <w:noWrap w:val="false"/>
          </w:tcPr>
          <w:p>
            <w:pPr>
              <w:pStyle w:val="801"/>
              <w:jc w:val="center"/>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1090" w:type="dxa"/>
            <w:vAlign w:val="center"/>
            <w:textDirection w:val="lrTb"/>
            <w:noWrap w:val="false"/>
          </w:tcPr>
          <w:p>
            <w:pPr>
              <w:pStyle w:val="801"/>
              <w:jc w:val="center"/>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1090" w:type="dxa"/>
            <w:vAlign w:val="center"/>
            <w:textDirection w:val="lrTb"/>
            <w:noWrap w:val="false"/>
          </w:tcPr>
          <w:p>
            <w:pPr>
              <w:pStyle w:val="801"/>
              <w:jc w:val="center"/>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1090" w:type="dxa"/>
            <w:vAlign w:val="center"/>
            <w:textDirection w:val="lrTb"/>
            <w:noWrap w:val="false"/>
          </w:tcPr>
          <w:p>
            <w:pPr>
              <w:pStyle w:val="801"/>
              <w:jc w:val="center"/>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r>
      <w:tr>
        <w:trPr>
          <w:trHeight w:val="584"/>
        </w:trPr>
        <w:tc>
          <w:tcPr>
            <w:tcW w:w="834" w:type="dxa"/>
            <w:vAlign w:val="center"/>
            <w:textDirection w:val="lrTb"/>
            <w:noWrap w:val="false"/>
          </w:tcPr>
          <w:p>
            <w:pPr>
              <w:pStyle w:val="801"/>
              <w:jc w:val="center"/>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zh-CN"/>
              </w:rPr>
            </w:r>
            <w:r/>
          </w:p>
        </w:tc>
        <w:tc>
          <w:tcPr>
            <w:tcW w:w="1344" w:type="dxa"/>
            <w:vAlign w:val="center"/>
            <w:textDirection w:val="lrTb"/>
            <w:noWrap w:val="false"/>
          </w:tcPr>
          <w:p>
            <w:pPr>
              <w:pStyle w:val="801"/>
              <w:jc w:val="center"/>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zh-CN"/>
              </w:rPr>
            </w:r>
            <w:r/>
          </w:p>
        </w:tc>
        <w:tc>
          <w:tcPr>
            <w:tcW w:w="1089" w:type="dxa"/>
            <w:vAlign w:val="center"/>
            <w:textDirection w:val="lrTb"/>
            <w:noWrap w:val="false"/>
          </w:tcPr>
          <w:p>
            <w:pPr>
              <w:pStyle w:val="801"/>
              <w:jc w:val="center"/>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1089" w:type="dxa"/>
            <w:vAlign w:val="center"/>
            <w:textDirection w:val="lrTb"/>
            <w:noWrap w:val="false"/>
          </w:tcPr>
          <w:p>
            <w:pPr>
              <w:pStyle w:val="801"/>
              <w:jc w:val="center"/>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1089" w:type="dxa"/>
            <w:vAlign w:val="center"/>
            <w:textDirection w:val="lrTb"/>
            <w:noWrap w:val="false"/>
          </w:tcPr>
          <w:p>
            <w:pPr>
              <w:pStyle w:val="801"/>
              <w:jc w:val="center"/>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1089" w:type="dxa"/>
            <w:vAlign w:val="center"/>
            <w:textDirection w:val="lrTb"/>
            <w:noWrap w:val="false"/>
          </w:tcPr>
          <w:p>
            <w:pPr>
              <w:pStyle w:val="801"/>
              <w:jc w:val="center"/>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1090" w:type="dxa"/>
            <w:vAlign w:val="center"/>
            <w:textDirection w:val="lrTb"/>
            <w:noWrap w:val="false"/>
          </w:tcPr>
          <w:p>
            <w:pPr>
              <w:pStyle w:val="801"/>
              <w:jc w:val="center"/>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1090" w:type="dxa"/>
            <w:vAlign w:val="center"/>
            <w:textDirection w:val="lrTb"/>
            <w:noWrap w:val="false"/>
          </w:tcPr>
          <w:p>
            <w:pPr>
              <w:pStyle w:val="801"/>
              <w:jc w:val="center"/>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1090" w:type="dxa"/>
            <w:vAlign w:val="center"/>
            <w:textDirection w:val="lrTb"/>
            <w:noWrap w:val="false"/>
          </w:tcPr>
          <w:p>
            <w:pPr>
              <w:pStyle w:val="801"/>
              <w:jc w:val="center"/>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r>
      <w:tr>
        <w:trPr>
          <w:trHeight w:val="584"/>
        </w:trPr>
        <w:tc>
          <w:tcPr>
            <w:tcW w:w="834" w:type="dxa"/>
            <w:vAlign w:val="center"/>
            <w:textDirection w:val="lrTb"/>
            <w:noWrap w:val="false"/>
          </w:tcPr>
          <w:p>
            <w:pPr>
              <w:pStyle w:val="801"/>
              <w:jc w:val="center"/>
              <w:widowControl/>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tc>
        <w:tc>
          <w:tcPr>
            <w:tcW w:w="1344" w:type="dxa"/>
            <w:vAlign w:val="center"/>
            <w:textDirection w:val="lrTb"/>
            <w:noWrap w:val="false"/>
          </w:tcPr>
          <w:p>
            <w:pPr>
              <w:pStyle w:val="801"/>
              <w:jc w:val="center"/>
              <w:widowControl/>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tc>
        <w:tc>
          <w:tcPr>
            <w:tcW w:w="1089" w:type="dxa"/>
            <w:vAlign w:val="center"/>
            <w:textDirection w:val="lrTb"/>
            <w:noWrap w:val="false"/>
          </w:tcPr>
          <w:p>
            <w:pPr>
              <w:pStyle w:val="801"/>
              <w:jc w:val="center"/>
              <w:widowControl/>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tc>
        <w:tc>
          <w:tcPr>
            <w:tcW w:w="1089" w:type="dxa"/>
            <w:vAlign w:val="center"/>
            <w:textDirection w:val="lrTb"/>
            <w:noWrap w:val="false"/>
          </w:tcPr>
          <w:p>
            <w:pPr>
              <w:pStyle w:val="801"/>
              <w:jc w:val="center"/>
              <w:widowControl/>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tc>
        <w:tc>
          <w:tcPr>
            <w:tcW w:w="1089" w:type="dxa"/>
            <w:vAlign w:val="center"/>
            <w:textDirection w:val="lrTb"/>
            <w:noWrap w:val="false"/>
          </w:tcPr>
          <w:p>
            <w:pPr>
              <w:pStyle w:val="801"/>
              <w:jc w:val="center"/>
              <w:widowControl/>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tc>
        <w:tc>
          <w:tcPr>
            <w:tcW w:w="1089" w:type="dxa"/>
            <w:vAlign w:val="center"/>
            <w:textDirection w:val="lrTb"/>
            <w:noWrap w:val="false"/>
          </w:tcPr>
          <w:p>
            <w:pPr>
              <w:pStyle w:val="801"/>
              <w:jc w:val="center"/>
              <w:widowControl/>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tc>
        <w:tc>
          <w:tcPr>
            <w:tcW w:w="1090" w:type="dxa"/>
            <w:vAlign w:val="center"/>
            <w:textDirection w:val="lrTb"/>
            <w:noWrap w:val="false"/>
          </w:tcPr>
          <w:p>
            <w:pPr>
              <w:pStyle w:val="801"/>
              <w:jc w:val="center"/>
              <w:widowControl/>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tc>
        <w:tc>
          <w:tcPr>
            <w:tcW w:w="1090" w:type="dxa"/>
            <w:vAlign w:val="center"/>
            <w:textDirection w:val="lrTb"/>
            <w:noWrap w:val="false"/>
          </w:tcPr>
          <w:p>
            <w:pPr>
              <w:pStyle w:val="801"/>
              <w:jc w:val="center"/>
              <w:widowControl/>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tc>
        <w:tc>
          <w:tcPr>
            <w:tcW w:w="1090" w:type="dxa"/>
            <w:vAlign w:val="center"/>
            <w:textDirection w:val="lrTb"/>
            <w:noWrap w:val="false"/>
          </w:tcPr>
          <w:p>
            <w:pPr>
              <w:pStyle w:val="801"/>
              <w:jc w:val="center"/>
              <w:widowControl/>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tc>
      </w:tr>
      <w:tr>
        <w:trPr>
          <w:trHeight w:val="584"/>
        </w:trPr>
        <w:tc>
          <w:tcPr>
            <w:tcW w:w="834" w:type="dxa"/>
            <w:vAlign w:val="center"/>
            <w:textDirection w:val="lrTb"/>
            <w:noWrap w:val="false"/>
          </w:tcPr>
          <w:p>
            <w:pPr>
              <w:pStyle w:val="801"/>
              <w:jc w:val="center"/>
              <w:widowControl/>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tc>
        <w:tc>
          <w:tcPr>
            <w:tcW w:w="1344" w:type="dxa"/>
            <w:vAlign w:val="center"/>
            <w:textDirection w:val="lrTb"/>
            <w:noWrap w:val="false"/>
          </w:tcPr>
          <w:p>
            <w:pPr>
              <w:pStyle w:val="801"/>
              <w:jc w:val="center"/>
              <w:widowControl/>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tc>
        <w:tc>
          <w:tcPr>
            <w:tcW w:w="1089" w:type="dxa"/>
            <w:vAlign w:val="center"/>
            <w:textDirection w:val="lrTb"/>
            <w:noWrap w:val="false"/>
          </w:tcPr>
          <w:p>
            <w:pPr>
              <w:pStyle w:val="801"/>
              <w:jc w:val="center"/>
              <w:widowControl/>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tc>
        <w:tc>
          <w:tcPr>
            <w:tcW w:w="1089" w:type="dxa"/>
            <w:vAlign w:val="center"/>
            <w:textDirection w:val="lrTb"/>
            <w:noWrap w:val="false"/>
          </w:tcPr>
          <w:p>
            <w:pPr>
              <w:pStyle w:val="801"/>
              <w:jc w:val="center"/>
              <w:widowControl/>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tc>
        <w:tc>
          <w:tcPr>
            <w:tcW w:w="1089" w:type="dxa"/>
            <w:vAlign w:val="center"/>
            <w:textDirection w:val="lrTb"/>
            <w:noWrap w:val="false"/>
          </w:tcPr>
          <w:p>
            <w:pPr>
              <w:pStyle w:val="801"/>
              <w:jc w:val="center"/>
              <w:widowControl/>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tc>
        <w:tc>
          <w:tcPr>
            <w:tcW w:w="1089" w:type="dxa"/>
            <w:vAlign w:val="center"/>
            <w:textDirection w:val="lrTb"/>
            <w:noWrap w:val="false"/>
          </w:tcPr>
          <w:p>
            <w:pPr>
              <w:pStyle w:val="801"/>
              <w:jc w:val="center"/>
              <w:widowControl/>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tc>
        <w:tc>
          <w:tcPr>
            <w:tcW w:w="1090" w:type="dxa"/>
            <w:vAlign w:val="center"/>
            <w:textDirection w:val="lrTb"/>
            <w:noWrap w:val="false"/>
          </w:tcPr>
          <w:p>
            <w:pPr>
              <w:pStyle w:val="801"/>
              <w:jc w:val="center"/>
              <w:widowControl/>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tc>
        <w:tc>
          <w:tcPr>
            <w:tcW w:w="1090" w:type="dxa"/>
            <w:vAlign w:val="center"/>
            <w:textDirection w:val="lrTb"/>
            <w:noWrap w:val="false"/>
          </w:tcPr>
          <w:p>
            <w:pPr>
              <w:pStyle w:val="801"/>
              <w:jc w:val="center"/>
              <w:widowControl/>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tc>
        <w:tc>
          <w:tcPr>
            <w:tcW w:w="1090" w:type="dxa"/>
            <w:vAlign w:val="center"/>
            <w:textDirection w:val="lrTb"/>
            <w:noWrap w:val="false"/>
          </w:tcPr>
          <w:p>
            <w:pPr>
              <w:pStyle w:val="801"/>
              <w:jc w:val="center"/>
              <w:widowControl/>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tc>
      </w:tr>
      <w:tr>
        <w:trPr>
          <w:trHeight w:val="584"/>
        </w:trPr>
        <w:tc>
          <w:tcPr>
            <w:tcW w:w="834" w:type="dxa"/>
            <w:vAlign w:val="center"/>
            <w:textDirection w:val="lrTb"/>
            <w:noWrap w:val="false"/>
          </w:tcPr>
          <w:p>
            <w:pPr>
              <w:pStyle w:val="801"/>
              <w:jc w:val="center"/>
              <w:widowControl/>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tc>
        <w:tc>
          <w:tcPr>
            <w:tcW w:w="1344" w:type="dxa"/>
            <w:vAlign w:val="center"/>
            <w:textDirection w:val="lrTb"/>
            <w:noWrap w:val="false"/>
          </w:tcPr>
          <w:p>
            <w:pPr>
              <w:pStyle w:val="801"/>
              <w:jc w:val="center"/>
              <w:widowControl/>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tc>
        <w:tc>
          <w:tcPr>
            <w:tcW w:w="1089" w:type="dxa"/>
            <w:vAlign w:val="center"/>
            <w:textDirection w:val="lrTb"/>
            <w:noWrap w:val="false"/>
          </w:tcPr>
          <w:p>
            <w:pPr>
              <w:pStyle w:val="801"/>
              <w:jc w:val="center"/>
              <w:widowControl/>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tc>
        <w:tc>
          <w:tcPr>
            <w:tcW w:w="1089" w:type="dxa"/>
            <w:vAlign w:val="center"/>
            <w:textDirection w:val="lrTb"/>
            <w:noWrap w:val="false"/>
          </w:tcPr>
          <w:p>
            <w:pPr>
              <w:pStyle w:val="801"/>
              <w:jc w:val="center"/>
              <w:widowControl/>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tc>
        <w:tc>
          <w:tcPr>
            <w:tcW w:w="1089" w:type="dxa"/>
            <w:vAlign w:val="center"/>
            <w:textDirection w:val="lrTb"/>
            <w:noWrap w:val="false"/>
          </w:tcPr>
          <w:p>
            <w:pPr>
              <w:pStyle w:val="801"/>
              <w:jc w:val="center"/>
              <w:widowControl/>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tc>
        <w:tc>
          <w:tcPr>
            <w:tcW w:w="1089" w:type="dxa"/>
            <w:vAlign w:val="center"/>
            <w:textDirection w:val="lrTb"/>
            <w:noWrap w:val="false"/>
          </w:tcPr>
          <w:p>
            <w:pPr>
              <w:pStyle w:val="801"/>
              <w:jc w:val="center"/>
              <w:widowControl/>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tc>
        <w:tc>
          <w:tcPr>
            <w:tcW w:w="1090" w:type="dxa"/>
            <w:vAlign w:val="center"/>
            <w:textDirection w:val="lrTb"/>
            <w:noWrap w:val="false"/>
          </w:tcPr>
          <w:p>
            <w:pPr>
              <w:pStyle w:val="801"/>
              <w:jc w:val="center"/>
              <w:widowControl/>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tc>
        <w:tc>
          <w:tcPr>
            <w:tcW w:w="1090" w:type="dxa"/>
            <w:vAlign w:val="center"/>
            <w:textDirection w:val="lrTb"/>
            <w:noWrap w:val="false"/>
          </w:tcPr>
          <w:p>
            <w:pPr>
              <w:pStyle w:val="801"/>
              <w:jc w:val="center"/>
              <w:widowControl/>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tc>
        <w:tc>
          <w:tcPr>
            <w:tcW w:w="1090" w:type="dxa"/>
            <w:vAlign w:val="center"/>
            <w:textDirection w:val="lrTb"/>
            <w:noWrap w:val="false"/>
          </w:tcPr>
          <w:p>
            <w:pPr>
              <w:pStyle w:val="801"/>
              <w:jc w:val="center"/>
              <w:widowControl/>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tc>
      </w:tr>
      <w:tr>
        <w:trPr>
          <w:trHeight w:val="584"/>
        </w:trPr>
        <w:tc>
          <w:tcPr>
            <w:tcW w:w="834" w:type="dxa"/>
            <w:vAlign w:val="center"/>
            <w:textDirection w:val="lrTb"/>
            <w:noWrap w:val="false"/>
          </w:tcPr>
          <w:p>
            <w:pPr>
              <w:pStyle w:val="801"/>
              <w:jc w:val="center"/>
              <w:widowControl/>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tc>
        <w:tc>
          <w:tcPr>
            <w:tcW w:w="1344" w:type="dxa"/>
            <w:vAlign w:val="center"/>
            <w:textDirection w:val="lrTb"/>
            <w:noWrap w:val="false"/>
          </w:tcPr>
          <w:p>
            <w:pPr>
              <w:pStyle w:val="801"/>
              <w:jc w:val="center"/>
              <w:widowControl/>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tc>
        <w:tc>
          <w:tcPr>
            <w:tcW w:w="1089" w:type="dxa"/>
            <w:vAlign w:val="center"/>
            <w:textDirection w:val="lrTb"/>
            <w:noWrap w:val="false"/>
          </w:tcPr>
          <w:p>
            <w:pPr>
              <w:pStyle w:val="801"/>
              <w:jc w:val="center"/>
              <w:widowControl/>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tc>
        <w:tc>
          <w:tcPr>
            <w:tcW w:w="1089" w:type="dxa"/>
            <w:vAlign w:val="center"/>
            <w:textDirection w:val="lrTb"/>
            <w:noWrap w:val="false"/>
          </w:tcPr>
          <w:p>
            <w:pPr>
              <w:pStyle w:val="801"/>
              <w:jc w:val="center"/>
              <w:widowControl/>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tc>
        <w:tc>
          <w:tcPr>
            <w:tcW w:w="1089" w:type="dxa"/>
            <w:vAlign w:val="center"/>
            <w:textDirection w:val="lrTb"/>
            <w:noWrap w:val="false"/>
          </w:tcPr>
          <w:p>
            <w:pPr>
              <w:pStyle w:val="801"/>
              <w:jc w:val="center"/>
              <w:widowControl/>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tc>
        <w:tc>
          <w:tcPr>
            <w:tcW w:w="1089" w:type="dxa"/>
            <w:vAlign w:val="center"/>
            <w:textDirection w:val="lrTb"/>
            <w:noWrap w:val="false"/>
          </w:tcPr>
          <w:p>
            <w:pPr>
              <w:pStyle w:val="801"/>
              <w:jc w:val="center"/>
              <w:widowControl/>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tc>
        <w:tc>
          <w:tcPr>
            <w:tcW w:w="1090" w:type="dxa"/>
            <w:vAlign w:val="center"/>
            <w:textDirection w:val="lrTb"/>
            <w:noWrap w:val="false"/>
          </w:tcPr>
          <w:p>
            <w:pPr>
              <w:pStyle w:val="801"/>
              <w:jc w:val="center"/>
              <w:widowControl/>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tc>
        <w:tc>
          <w:tcPr>
            <w:tcW w:w="1090" w:type="dxa"/>
            <w:vAlign w:val="center"/>
            <w:textDirection w:val="lrTb"/>
            <w:noWrap w:val="false"/>
          </w:tcPr>
          <w:p>
            <w:pPr>
              <w:pStyle w:val="801"/>
              <w:jc w:val="center"/>
              <w:widowControl/>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tc>
        <w:tc>
          <w:tcPr>
            <w:tcW w:w="1090" w:type="dxa"/>
            <w:vAlign w:val="center"/>
            <w:textDirection w:val="lrTb"/>
            <w:noWrap w:val="false"/>
          </w:tcPr>
          <w:p>
            <w:pPr>
              <w:pStyle w:val="801"/>
              <w:jc w:val="center"/>
              <w:widowControl/>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tc>
      </w:tr>
      <w:tr>
        <w:trPr>
          <w:trHeight w:val="584"/>
        </w:trPr>
        <w:tc>
          <w:tcPr>
            <w:tcW w:w="834" w:type="dxa"/>
            <w:vAlign w:val="center"/>
            <w:textDirection w:val="lrTb"/>
            <w:noWrap w:val="false"/>
          </w:tcPr>
          <w:p>
            <w:pPr>
              <w:pStyle w:val="801"/>
              <w:jc w:val="center"/>
              <w:widowControl/>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tc>
        <w:tc>
          <w:tcPr>
            <w:tcW w:w="1344" w:type="dxa"/>
            <w:vAlign w:val="center"/>
            <w:textDirection w:val="lrTb"/>
            <w:noWrap w:val="false"/>
          </w:tcPr>
          <w:p>
            <w:pPr>
              <w:pStyle w:val="801"/>
              <w:jc w:val="center"/>
              <w:widowControl/>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tc>
        <w:tc>
          <w:tcPr>
            <w:tcW w:w="1089" w:type="dxa"/>
            <w:vAlign w:val="center"/>
            <w:textDirection w:val="lrTb"/>
            <w:noWrap w:val="false"/>
          </w:tcPr>
          <w:p>
            <w:pPr>
              <w:pStyle w:val="801"/>
              <w:jc w:val="center"/>
              <w:widowControl/>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tc>
        <w:tc>
          <w:tcPr>
            <w:tcW w:w="1089" w:type="dxa"/>
            <w:vAlign w:val="center"/>
            <w:textDirection w:val="lrTb"/>
            <w:noWrap w:val="false"/>
          </w:tcPr>
          <w:p>
            <w:pPr>
              <w:pStyle w:val="801"/>
              <w:jc w:val="center"/>
              <w:widowControl/>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tc>
        <w:tc>
          <w:tcPr>
            <w:tcW w:w="1089" w:type="dxa"/>
            <w:vAlign w:val="center"/>
            <w:textDirection w:val="lrTb"/>
            <w:noWrap w:val="false"/>
          </w:tcPr>
          <w:p>
            <w:pPr>
              <w:pStyle w:val="801"/>
              <w:jc w:val="center"/>
              <w:widowControl/>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tc>
        <w:tc>
          <w:tcPr>
            <w:tcW w:w="1089" w:type="dxa"/>
            <w:vAlign w:val="center"/>
            <w:textDirection w:val="lrTb"/>
            <w:noWrap w:val="false"/>
          </w:tcPr>
          <w:p>
            <w:pPr>
              <w:pStyle w:val="801"/>
              <w:jc w:val="center"/>
              <w:widowControl/>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tc>
        <w:tc>
          <w:tcPr>
            <w:tcW w:w="1090" w:type="dxa"/>
            <w:vAlign w:val="center"/>
            <w:textDirection w:val="lrTb"/>
            <w:noWrap w:val="false"/>
          </w:tcPr>
          <w:p>
            <w:pPr>
              <w:pStyle w:val="801"/>
              <w:jc w:val="center"/>
              <w:widowControl/>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tc>
        <w:tc>
          <w:tcPr>
            <w:tcW w:w="1090" w:type="dxa"/>
            <w:vAlign w:val="center"/>
            <w:textDirection w:val="lrTb"/>
            <w:noWrap w:val="false"/>
          </w:tcPr>
          <w:p>
            <w:pPr>
              <w:pStyle w:val="801"/>
              <w:jc w:val="center"/>
              <w:widowControl/>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tc>
        <w:tc>
          <w:tcPr>
            <w:tcW w:w="1090" w:type="dxa"/>
            <w:vAlign w:val="center"/>
            <w:textDirection w:val="lrTb"/>
            <w:noWrap w:val="false"/>
          </w:tcPr>
          <w:p>
            <w:pPr>
              <w:pStyle w:val="801"/>
              <w:jc w:val="center"/>
              <w:widowControl/>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tc>
      </w:tr>
    </w:tbl>
    <w:p>
      <w:pPr>
        <w:pStyle w:val="801"/>
        <w:ind w:firstLine="420"/>
        <w:jc w:val="left"/>
        <w:widowControl/>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p>
      <w:pPr>
        <w:pStyle w:val="801"/>
        <w:ind w:firstLine="420"/>
        <w:jc w:val="left"/>
        <w:widowControl/>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说明：</w:t>
      </w:r>
      <w:r>
        <w:rPr>
          <w:rFonts w:hint="eastAsia" w:ascii="宋体" w:hAnsi="宋体" w:eastAsia="宋体" w:cs="宋体"/>
          <w:color w:val="000000"/>
          <w:sz w:val="24"/>
          <w:szCs w:val="24"/>
          <w:highlight w:val="none"/>
          <w:lang w:val="zh-CN"/>
        </w:rPr>
      </w:r>
      <w:r/>
    </w:p>
    <w:p>
      <w:pPr>
        <w:pStyle w:val="801"/>
        <w:ind w:firstLine="420"/>
        <w:rPr>
          <w:rFonts w:hint="eastAsia" w:ascii="宋体" w:hAnsi="宋体" w:eastAsia="宋体" w:cs="宋体"/>
          <w:b/>
          <w:color w:val="000000"/>
          <w:sz w:val="24"/>
          <w:szCs w:val="24"/>
          <w:highlight w:val="none"/>
          <w:lang w:val="zh-CN"/>
        </w:rPr>
      </w:pPr>
      <w:r>
        <w:rPr>
          <w:rFonts w:hint="eastAsia" w:ascii="宋体" w:hAnsi="宋体" w:eastAsia="宋体" w:cs="宋体"/>
          <w:color w:val="000000"/>
          <w:sz w:val="24"/>
          <w:szCs w:val="24"/>
          <w:highlight w:val="none"/>
          <w:lang w:val="zh-CN"/>
        </w:rPr>
        <w:t xml:space="preserve">1、如果行、列数不够，请自行增加。</w:t>
      </w:r>
      <w:r>
        <w:rPr>
          <w:rFonts w:hint="eastAsia" w:ascii="宋体" w:hAnsi="宋体" w:eastAsia="宋体" w:cs="宋体"/>
          <w:b/>
          <w:color w:val="000000"/>
          <w:sz w:val="24"/>
          <w:szCs w:val="24"/>
          <w:highlight w:val="none"/>
          <w:lang w:val="zh-CN"/>
        </w:rPr>
      </w:r>
      <w:r/>
    </w:p>
    <w:p>
      <w:pPr>
        <w:pStyle w:val="801"/>
        <w:ind w:firstLine="422"/>
        <w:rPr>
          <w:rFonts w:hint="eastAsia" w:ascii="宋体" w:hAnsi="宋体" w:eastAsia="宋体" w:cs="宋体"/>
          <w:b/>
          <w:color w:val="000000"/>
          <w:sz w:val="24"/>
          <w:szCs w:val="24"/>
          <w:highlight w:val="none"/>
          <w:lang w:val="zh-CN"/>
        </w:rPr>
      </w:pPr>
      <w:r>
        <w:rPr>
          <w:rFonts w:hint="eastAsia" w:ascii="宋体" w:hAnsi="宋体" w:eastAsia="宋体" w:cs="宋体"/>
          <w:b/>
          <w:color w:val="000000"/>
          <w:sz w:val="24"/>
          <w:szCs w:val="24"/>
          <w:highlight w:val="none"/>
          <w:lang w:val="zh-CN"/>
        </w:rPr>
        <w:t xml:space="preserve">2、请同时提供以上人员的相关专业、职称或执业资格、</w:t>
      </w:r>
      <w:r>
        <w:rPr>
          <w:rFonts w:hint="eastAsia" w:ascii="宋体" w:hAnsi="宋体" w:eastAsia="宋体" w:cs="宋体"/>
          <w:b/>
          <w:color w:val="000000"/>
          <w:sz w:val="24"/>
          <w:szCs w:val="24"/>
          <w:highlight w:val="none"/>
        </w:rPr>
        <w:t xml:space="preserve">社保缴费证明</w:t>
      </w:r>
      <w:r>
        <w:rPr>
          <w:rFonts w:hint="eastAsia" w:ascii="宋体" w:hAnsi="宋体" w:eastAsia="宋体" w:cs="宋体"/>
          <w:b/>
          <w:color w:val="000000"/>
          <w:sz w:val="24"/>
          <w:szCs w:val="24"/>
          <w:highlight w:val="none"/>
          <w:lang w:val="zh-CN"/>
        </w:rPr>
        <w:t xml:space="preserve">等</w:t>
      </w:r>
      <w:r>
        <w:rPr>
          <w:rFonts w:hint="eastAsia" w:ascii="宋体" w:hAnsi="宋体" w:eastAsia="宋体" w:cs="宋体"/>
          <w:b/>
          <w:color w:val="000000"/>
          <w:sz w:val="24"/>
          <w:szCs w:val="24"/>
          <w:highlight w:val="none"/>
          <w:lang w:val="zh-CN"/>
        </w:rPr>
        <w:t xml:space="preserve">证明材料</w:t>
      </w:r>
      <w:r>
        <w:rPr>
          <w:rFonts w:hint="eastAsia" w:ascii="宋体" w:hAnsi="宋体" w:eastAsia="宋体" w:cs="宋体"/>
          <w:b/>
          <w:color w:val="000000"/>
          <w:sz w:val="24"/>
          <w:szCs w:val="24"/>
          <w:highlight w:val="none"/>
          <w:lang w:val="en-US" w:eastAsia="zh-CN"/>
        </w:rPr>
        <w:t xml:space="preserve">扫描件加盖</w:t>
      </w:r>
      <w:r>
        <w:rPr>
          <w:rFonts w:hint="eastAsia" w:ascii="宋体" w:hAnsi="宋体" w:eastAsia="宋体" w:cs="宋体"/>
          <w:b/>
          <w:color w:val="000000"/>
          <w:sz w:val="24"/>
          <w:szCs w:val="24"/>
          <w:highlight w:val="none"/>
          <w:lang w:val="zh-CN"/>
        </w:rPr>
        <w:t xml:space="preserve">CA电子</w:t>
      </w:r>
      <w:r>
        <w:rPr>
          <w:rFonts w:hint="eastAsia" w:ascii="宋体" w:hAnsi="宋体" w:eastAsia="宋体" w:cs="宋体"/>
          <w:b/>
          <w:color w:val="000000"/>
          <w:sz w:val="24"/>
          <w:szCs w:val="24"/>
          <w:highlight w:val="none"/>
          <w:lang w:val="en-US" w:eastAsia="zh-CN"/>
        </w:rPr>
        <w:t xml:space="preserve">签</w:t>
      </w:r>
      <w:r>
        <w:rPr>
          <w:rFonts w:hint="eastAsia" w:ascii="宋体" w:hAnsi="宋体" w:eastAsia="宋体" w:cs="宋体"/>
          <w:b/>
          <w:color w:val="000000"/>
          <w:sz w:val="24"/>
          <w:szCs w:val="24"/>
          <w:highlight w:val="none"/>
          <w:lang w:val="zh-CN"/>
        </w:rPr>
        <w:t xml:space="preserve">章。</w:t>
      </w:r>
      <w:r>
        <w:rPr>
          <w:rFonts w:hint="eastAsia" w:ascii="宋体" w:hAnsi="宋体" w:eastAsia="宋体" w:cs="宋体"/>
          <w:b/>
          <w:color w:val="000000"/>
          <w:sz w:val="24"/>
          <w:szCs w:val="24"/>
          <w:highlight w:val="none"/>
          <w:lang w:val="zh-CN"/>
        </w:rPr>
      </w:r>
      <w:r/>
    </w:p>
    <w:p>
      <w:pPr>
        <w:pStyle w:val="801"/>
        <w:ind w:firstLine="422"/>
        <w:rPr>
          <w:rFonts w:hint="eastAsia" w:ascii="宋体" w:hAnsi="宋体" w:eastAsia="宋体" w:cs="宋体"/>
          <w:b/>
          <w:color w:val="000000"/>
          <w:szCs w:val="21"/>
          <w:highlight w:val="none"/>
          <w:lang w:val="zh-CN"/>
        </w:rPr>
      </w:pPr>
      <w:r>
        <w:rPr>
          <w:rFonts w:hint="eastAsia" w:ascii="宋体" w:hAnsi="宋体" w:eastAsia="宋体" w:cs="宋体"/>
          <w:b/>
          <w:color w:val="000000"/>
          <w:szCs w:val="21"/>
          <w:highlight w:val="none"/>
          <w:lang w:val="zh-CN"/>
        </w:rPr>
      </w:r>
      <w:r/>
    </w:p>
    <w:p>
      <w:pPr>
        <w:pStyle w:val="801"/>
        <w:ind w:firstLine="422"/>
        <w:jc w:val="center"/>
        <w:rPr>
          <w:rFonts w:hint="eastAsia" w:ascii="宋体" w:hAnsi="宋体" w:eastAsia="宋体" w:cs="宋体"/>
          <w:color w:val="000000"/>
          <w:sz w:val="32"/>
          <w:szCs w:val="32"/>
          <w:highlight w:val="none"/>
        </w:rPr>
      </w:pPr>
      <w:r>
        <w:rPr>
          <w:rFonts w:hint="eastAsia" w:ascii="宋体" w:hAnsi="宋体" w:eastAsia="宋体" w:cs="宋体"/>
          <w:b/>
          <w:color w:val="000000"/>
          <w:szCs w:val="21"/>
          <w:highlight w:val="none"/>
          <w:lang w:val="zh-CN"/>
        </w:rPr>
        <w:br w:type="page" w:clear="all"/>
      </w:r>
      <w:r>
        <w:rPr>
          <w:rFonts w:hint="eastAsia" w:ascii="宋体" w:hAnsi="宋体" w:eastAsia="宋体" w:cs="宋体"/>
          <w:color w:val="000000"/>
          <w:sz w:val="32"/>
          <w:szCs w:val="32"/>
          <w:highlight w:val="none"/>
        </w:rPr>
        <w:t xml:space="preserve">表3  主要人员经历表</w:t>
      </w:r>
      <w:r>
        <w:rPr>
          <w:rFonts w:hint="eastAsia" w:ascii="宋体" w:hAnsi="宋体" w:eastAsia="宋体" w:cs="宋体"/>
          <w:color w:val="000000"/>
          <w:sz w:val="32"/>
          <w:szCs w:val="32"/>
          <w:highlight w:val="none"/>
        </w:rPr>
      </w:r>
      <w:r/>
    </w:p>
    <w:tbl>
      <w:tblPr>
        <w:tblW w:w="9750" w:type="dxa"/>
        <w:jc w:val="center"/>
        <w:tblInd w:w="-5" w:type="dxa"/>
        <w:tblLayout w:type="fixed"/>
        <w:tblCellMar>
          <w:left w:w="0" w:type="dxa"/>
          <w:top w:w="0" w:type="dxa"/>
          <w:right w:w="0" w:type="dxa"/>
          <w:bottom w:w="0" w:type="dxa"/>
        </w:tblCellMar>
        <w:tblLook w:val="04A0" w:firstRow="1" w:lastRow="0" w:firstColumn="1" w:lastColumn="0" w:noHBand="0" w:noVBand="1"/>
      </w:tblPr>
      <w:tblGrid>
        <w:gridCol w:w="1408"/>
        <w:gridCol w:w="1652"/>
        <w:gridCol w:w="1184"/>
        <w:gridCol w:w="1505"/>
        <w:gridCol w:w="35"/>
        <w:gridCol w:w="2102"/>
        <w:gridCol w:w="76"/>
        <w:gridCol w:w="1788"/>
      </w:tblGrid>
      <w:tr>
        <w:trPr>
          <w:trHeight w:val="775"/>
        </w:trPr>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pStyle w:val="852"/>
              <w:ind w:right="13"/>
              <w:jc w:val="center"/>
              <w:tabs>
                <w:tab w:val="left" w:pos="631"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姓    名</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pStyle w:val="852"/>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pStyle w:val="852"/>
              <w:ind w:left="12"/>
              <w:jc w:val="center"/>
              <w:tabs>
                <w:tab w:val="left" w:pos="643"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年    龄</w:t>
            </w:r>
            <w:r>
              <w:rPr>
                <w:rFonts w:hint="eastAsia" w:ascii="宋体" w:hAnsi="宋体" w:eastAsia="宋体" w:cs="宋体"/>
                <w:color w:val="000000"/>
                <w:sz w:val="21"/>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pStyle w:val="852"/>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2102" w:type="dxa"/>
            <w:vAlign w:val="center"/>
            <w:textDirection w:val="lrTb"/>
            <w:noWrap w:val="false"/>
          </w:tcPr>
          <w:p>
            <w:pPr>
              <w:pStyle w:val="85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拟在本项目任职</w:t>
            </w:r>
            <w:r>
              <w:rPr>
                <w:rFonts w:hint="eastAsia" w:ascii="宋体" w:hAnsi="宋体" w:eastAsia="宋体" w:cs="宋体"/>
                <w:color w:val="000000"/>
                <w:sz w:val="21"/>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1864" w:type="dxa"/>
            <w:vAlign w:val="center"/>
            <w:textDirection w:val="lrTb"/>
            <w:noWrap w:val="false"/>
          </w:tcPr>
          <w:p>
            <w:pPr>
              <w:pStyle w:val="852"/>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r>
      <w:tr>
        <w:trPr>
          <w:trHeight w:val="981"/>
        </w:trPr>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pStyle w:val="852"/>
              <w:ind w:right="15"/>
              <w:jc w:val="center"/>
              <w:spacing w:before="16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技术职称</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pStyle w:val="852"/>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pStyle w:val="852"/>
              <w:ind w:left="12"/>
              <w:jc w:val="center"/>
              <w:spacing w:before="160"/>
              <w:tabs>
                <w:tab w:val="left" w:pos="643"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学    历</w:t>
            </w:r>
            <w:r>
              <w:rPr>
                <w:rFonts w:hint="eastAsia" w:ascii="宋体" w:hAnsi="宋体" w:eastAsia="宋体" w:cs="宋体"/>
                <w:color w:val="000000"/>
                <w:sz w:val="21"/>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pStyle w:val="852"/>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2102" w:type="dxa"/>
            <w:vAlign w:val="center"/>
            <w:textDirection w:val="lrTb"/>
            <w:noWrap w:val="false"/>
          </w:tcPr>
          <w:p>
            <w:pPr>
              <w:pStyle w:val="85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执业或职业资格</w:t>
            </w:r>
            <w:r>
              <w:rPr>
                <w:rFonts w:hint="eastAsia" w:ascii="宋体" w:hAnsi="宋体" w:eastAsia="宋体" w:cs="宋体"/>
                <w:color w:val="000000"/>
                <w:sz w:val="21"/>
                <w:szCs w:val="21"/>
                <w:highlight w:val="none"/>
              </w:rPr>
            </w:r>
            <w:r/>
          </w:p>
          <w:p>
            <w:pPr>
              <w:pStyle w:val="852"/>
              <w:ind w:left="12"/>
              <w:jc w:val="center"/>
              <w:spacing w:before="160"/>
              <w:tabs>
                <w:tab w:val="left" w:pos="643"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证书名称</w:t>
            </w:r>
            <w:r>
              <w:rPr>
                <w:rFonts w:hint="eastAsia" w:ascii="宋体" w:hAnsi="宋体" w:eastAsia="宋体" w:cs="宋体"/>
                <w:color w:val="000000"/>
                <w:sz w:val="21"/>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1864" w:type="dxa"/>
            <w:vAlign w:val="center"/>
            <w:textDirection w:val="lrTb"/>
            <w:noWrap w:val="false"/>
          </w:tcPr>
          <w:p>
            <w:pPr>
              <w:pStyle w:val="852"/>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r>
      <w:tr>
        <w:trPr>
          <w:trHeight w:val="520"/>
        </w:trPr>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pStyle w:val="852"/>
              <w:ind w:right="1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工作年限</w:t>
            </w:r>
            <w:r>
              <w:rPr>
                <w:rFonts w:hint="eastAsia" w:ascii="宋体" w:hAnsi="宋体" w:eastAsia="宋体" w:cs="宋体"/>
                <w:color w:val="000000"/>
                <w:sz w:val="21"/>
                <w:szCs w:val="21"/>
                <w:highlight w:val="none"/>
              </w:rPr>
            </w:r>
            <w:r/>
          </w:p>
        </w:tc>
        <w:tc>
          <w:tcPr>
            <w:gridSpan w:val="4"/>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52"/>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2102" w:type="dxa"/>
            <w:vAlign w:val="center"/>
            <w:textDirection w:val="lrTb"/>
            <w:noWrap w:val="false"/>
          </w:tcPr>
          <w:p>
            <w:pPr>
              <w:pStyle w:val="85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从事类似工作年限</w:t>
            </w:r>
            <w:r>
              <w:rPr>
                <w:rFonts w:hint="eastAsia" w:ascii="宋体" w:hAnsi="宋体" w:eastAsia="宋体" w:cs="宋体"/>
                <w:color w:val="000000"/>
                <w:sz w:val="21"/>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1864" w:type="dxa"/>
            <w:vAlign w:val="center"/>
            <w:textDirection w:val="lrTb"/>
            <w:noWrap w:val="false"/>
          </w:tcPr>
          <w:p>
            <w:pPr>
              <w:pStyle w:val="852"/>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r>
      <w:tr>
        <w:trPr>
          <w:trHeight w:val="520"/>
        </w:trPr>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pStyle w:val="852"/>
              <w:ind w:right="1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毕业学校</w:t>
            </w:r>
            <w:r>
              <w:rPr>
                <w:rFonts w:hint="eastAsia" w:ascii="宋体" w:hAnsi="宋体" w:eastAsia="宋体" w:cs="宋体"/>
                <w:color w:val="000000"/>
                <w:sz w:val="21"/>
                <w:szCs w:val="21"/>
                <w:highlight w:val="none"/>
              </w:rPr>
            </w:r>
            <w:r/>
          </w:p>
        </w:tc>
        <w:tc>
          <w:tcPr>
            <w:gridSpan w:val="7"/>
            <w:tcBorders>
              <w:top w:val="single" w:color="000000" w:sz="4" w:space="0"/>
              <w:left w:val="single" w:color="000000" w:sz="4" w:space="0"/>
              <w:bottom w:val="single" w:color="000000" w:sz="4" w:space="0"/>
              <w:right w:val="single" w:color="000000" w:sz="4" w:space="0"/>
            </w:tcBorders>
            <w:tcW w:w="8342" w:type="dxa"/>
            <w:vAlign w:val="top"/>
            <w:textDirection w:val="lrTb"/>
            <w:noWrap w:val="false"/>
          </w:tcPr>
          <w:p>
            <w:pPr>
              <w:pStyle w:val="852"/>
              <w:ind w:left="5"/>
              <w:spacing w:before="186"/>
              <w:tabs>
                <w:tab w:val="left" w:pos="1365" w:leader="none"/>
                <w:tab w:val="left" w:pos="3892" w:leader="none"/>
                <w:tab w:val="left" w:pos="5466" w:leader="none"/>
                <w:tab w:val="left" w:pos="714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rPr>
              <w:t xml:space="preserve">年毕</w:t>
            </w:r>
            <w:r>
              <w:rPr>
                <w:rFonts w:hint="eastAsia" w:ascii="宋体" w:hAnsi="宋体" w:eastAsia="宋体" w:cs="宋体"/>
                <w:color w:val="000000"/>
                <w:spacing w:val="-3"/>
                <w:sz w:val="21"/>
                <w:szCs w:val="21"/>
                <w:highlight w:val="none"/>
              </w:rPr>
              <w:t xml:space="preserve">业</w:t>
            </w:r>
            <w:r>
              <w:rPr>
                <w:rFonts w:hint="eastAsia" w:ascii="宋体" w:hAnsi="宋体" w:eastAsia="宋体" w:cs="宋体"/>
                <w:color w:val="000000"/>
                <w:sz w:val="21"/>
                <w:szCs w:val="21"/>
                <w:highlight w:val="none"/>
              </w:rPr>
              <w:t xml:space="preserve">于</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tab/>
            </w:r>
            <w:r>
              <w:rPr>
                <w:rFonts w:hint="eastAsia" w:ascii="宋体" w:hAnsi="宋体" w:eastAsia="宋体" w:cs="宋体"/>
                <w:color w:val="000000"/>
                <w:spacing w:val="-3"/>
                <w:sz w:val="21"/>
                <w:szCs w:val="21"/>
                <w:highlight w:val="none"/>
              </w:rPr>
              <w:t xml:space="preserve">学</w:t>
            </w:r>
            <w:r>
              <w:rPr>
                <w:rFonts w:hint="eastAsia" w:ascii="宋体" w:hAnsi="宋体" w:eastAsia="宋体" w:cs="宋体"/>
                <w:color w:val="000000"/>
                <w:sz w:val="21"/>
                <w:szCs w:val="21"/>
                <w:highlight w:val="none"/>
              </w:rPr>
              <w:t xml:space="preserve">校</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tab/>
            </w:r>
            <w:r>
              <w:rPr>
                <w:rFonts w:hint="eastAsia" w:ascii="宋体" w:hAnsi="宋体" w:eastAsia="宋体" w:cs="宋体"/>
                <w:color w:val="000000"/>
                <w:spacing w:val="-3"/>
                <w:sz w:val="21"/>
                <w:szCs w:val="21"/>
                <w:highlight w:val="none"/>
              </w:rPr>
              <w:t xml:space="preserve">专</w:t>
            </w:r>
            <w:r>
              <w:rPr>
                <w:rFonts w:hint="eastAsia" w:ascii="宋体" w:hAnsi="宋体" w:eastAsia="宋体" w:cs="宋体"/>
                <w:color w:val="000000"/>
                <w:sz w:val="21"/>
                <w:szCs w:val="21"/>
                <w:highlight w:val="none"/>
              </w:rPr>
              <w:t xml:space="preserve">业</w:t>
            </w:r>
            <w:r>
              <w:rPr>
                <w:rFonts w:hint="eastAsia" w:ascii="宋体" w:hAnsi="宋体" w:eastAsia="宋体" w:cs="宋体"/>
                <w:color w:val="000000"/>
                <w:sz w:val="21"/>
                <w:szCs w:val="21"/>
                <w:highlight w:val="none"/>
              </w:rPr>
            </w:r>
            <w:r/>
          </w:p>
        </w:tc>
      </w:tr>
      <w:tr>
        <w:trPr>
          <w:trHeight w:val="517"/>
        </w:trPr>
        <w:tc>
          <w:tcPr>
            <w:gridSpan w:val="8"/>
            <w:tcBorders>
              <w:top w:val="single" w:color="000000" w:sz="4" w:space="0"/>
              <w:left w:val="single" w:color="000000" w:sz="4" w:space="0"/>
              <w:bottom w:val="single" w:color="000000" w:sz="4" w:space="0"/>
              <w:right w:val="single" w:color="000000" w:sz="4" w:space="0"/>
            </w:tcBorders>
            <w:tcW w:w="9750" w:type="dxa"/>
            <w:vAlign w:val="center"/>
            <w:textDirection w:val="lrTb"/>
            <w:noWrap w:val="false"/>
          </w:tcPr>
          <w:p>
            <w:pPr>
              <w:pStyle w:val="852"/>
              <w:ind w:left="10"/>
              <w:jc w:val="center"/>
              <w:tabs>
                <w:tab w:val="left" w:pos="1167"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主要工作经历</w:t>
            </w:r>
            <w:r>
              <w:rPr>
                <w:rFonts w:hint="eastAsia" w:ascii="宋体" w:hAnsi="宋体" w:eastAsia="宋体" w:cs="宋体"/>
                <w:color w:val="000000"/>
                <w:sz w:val="21"/>
                <w:szCs w:val="21"/>
                <w:highlight w:val="none"/>
              </w:rPr>
            </w:r>
            <w:r/>
          </w:p>
        </w:tc>
      </w:tr>
      <w:tr>
        <w:trPr>
          <w:trHeight w:val="620"/>
        </w:trPr>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pStyle w:val="852"/>
              <w:ind w:left="34"/>
              <w:jc w:val="center"/>
              <w:spacing w:before="131"/>
              <w:tabs>
                <w:tab w:val="left" w:pos="457"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时    间</w:t>
            </w:r>
            <w:r>
              <w:rPr>
                <w:rFonts w:hint="eastAsia" w:ascii="宋体" w:hAnsi="宋体" w:eastAsia="宋体" w:cs="宋体"/>
                <w:color w:val="000000"/>
                <w:sz w:val="21"/>
                <w:szCs w:val="21"/>
                <w:highlight w:val="none"/>
              </w:rPr>
            </w:r>
            <w:r/>
          </w:p>
        </w:tc>
        <w:tc>
          <w:tcPr>
            <w:gridSpan w:val="3"/>
            <w:tcBorders>
              <w:top w:val="single" w:color="000000" w:sz="4" w:space="0"/>
              <w:left w:val="single" w:color="000000" w:sz="4" w:space="0"/>
              <w:bottom w:val="single" w:color="000000" w:sz="4" w:space="0"/>
              <w:right w:val="single" w:color="000000" w:sz="4" w:space="0"/>
            </w:tcBorders>
            <w:tcW w:w="4341" w:type="dxa"/>
            <w:vAlign w:val="center"/>
            <w:textDirection w:val="lrTb"/>
            <w:noWrap w:val="false"/>
          </w:tcPr>
          <w:p>
            <w:pPr>
              <w:pStyle w:val="852"/>
              <w:jc w:val="center"/>
              <w:spacing w:before="131"/>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参加过的类似项目</w:t>
            </w:r>
            <w:r>
              <w:rPr>
                <w:rFonts w:hint="eastAsia" w:ascii="宋体" w:hAnsi="宋体" w:eastAsia="宋体" w:cs="宋体"/>
                <w:color w:val="000000"/>
                <w:sz w:val="21"/>
                <w:szCs w:val="21"/>
                <w:highlight w:val="none"/>
              </w:rPr>
            </w:r>
            <w:r/>
          </w:p>
        </w:tc>
        <w:tc>
          <w:tcPr>
            <w:gridSpan w:val="3"/>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pStyle w:val="852"/>
              <w:jc w:val="center"/>
              <w:spacing w:before="131"/>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担任职务</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788" w:type="dxa"/>
            <w:vAlign w:val="center"/>
            <w:textDirection w:val="lrTb"/>
            <w:noWrap w:val="false"/>
          </w:tcPr>
          <w:p>
            <w:pPr>
              <w:pStyle w:val="852"/>
              <w:ind w:right="107"/>
              <w:jc w:val="center"/>
              <w:spacing w:before="57" w:line="400"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发包人及联系</w:t>
            </w:r>
            <w:r>
              <w:rPr>
                <w:rFonts w:hint="eastAsia" w:ascii="宋体" w:hAnsi="宋体" w:eastAsia="宋体" w:cs="宋体"/>
                <w:color w:val="000000"/>
                <w:sz w:val="21"/>
                <w:szCs w:val="21"/>
                <w:highlight w:val="none"/>
              </w:rPr>
            </w:r>
            <w:r/>
          </w:p>
          <w:p>
            <w:pPr>
              <w:pStyle w:val="852"/>
              <w:ind w:right="107"/>
              <w:jc w:val="center"/>
              <w:spacing w:before="57" w:line="400"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电话</w:t>
            </w:r>
            <w:r>
              <w:rPr>
                <w:rFonts w:hint="eastAsia" w:ascii="宋体" w:hAnsi="宋体" w:eastAsia="宋体" w:cs="宋体"/>
                <w:color w:val="000000"/>
                <w:sz w:val="21"/>
                <w:szCs w:val="21"/>
                <w:highlight w:val="none"/>
              </w:rPr>
            </w:r>
            <w:r/>
          </w:p>
        </w:tc>
      </w:tr>
      <w:tr>
        <w:trPr>
          <w:trHeight w:val="851"/>
        </w:trPr>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pStyle w:val="852"/>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gridSpan w:val="3"/>
            <w:tcBorders>
              <w:top w:val="single" w:color="000000" w:sz="4" w:space="0"/>
              <w:left w:val="single" w:color="000000" w:sz="4" w:space="0"/>
              <w:bottom w:val="single" w:color="000000" w:sz="4" w:space="0"/>
              <w:right w:val="single" w:color="000000" w:sz="4" w:space="0"/>
            </w:tcBorders>
            <w:tcW w:w="4341" w:type="dxa"/>
            <w:vAlign w:val="center"/>
            <w:textDirection w:val="lrTb"/>
            <w:noWrap w:val="false"/>
          </w:tcPr>
          <w:p>
            <w:pPr>
              <w:pStyle w:val="852"/>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gridSpan w:val="3"/>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pStyle w:val="852"/>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788" w:type="dxa"/>
            <w:vAlign w:val="center"/>
            <w:textDirection w:val="lrTb"/>
            <w:noWrap w:val="false"/>
          </w:tcPr>
          <w:p>
            <w:pPr>
              <w:pStyle w:val="852"/>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r>
      <w:tr>
        <w:trPr>
          <w:trHeight w:val="851"/>
        </w:trPr>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pStyle w:val="852"/>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gridSpan w:val="3"/>
            <w:tcBorders>
              <w:top w:val="single" w:color="000000" w:sz="4" w:space="0"/>
              <w:left w:val="single" w:color="000000" w:sz="4" w:space="0"/>
              <w:bottom w:val="single" w:color="000000" w:sz="4" w:space="0"/>
              <w:right w:val="single" w:color="000000" w:sz="4" w:space="0"/>
            </w:tcBorders>
            <w:tcW w:w="4341" w:type="dxa"/>
            <w:vAlign w:val="center"/>
            <w:textDirection w:val="lrTb"/>
            <w:noWrap w:val="false"/>
          </w:tcPr>
          <w:p>
            <w:pPr>
              <w:pStyle w:val="852"/>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gridSpan w:val="3"/>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pStyle w:val="852"/>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788" w:type="dxa"/>
            <w:vAlign w:val="center"/>
            <w:textDirection w:val="lrTb"/>
            <w:noWrap w:val="false"/>
          </w:tcPr>
          <w:p>
            <w:pPr>
              <w:pStyle w:val="852"/>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r>
      <w:tr>
        <w:trPr>
          <w:trHeight w:val="851"/>
        </w:trPr>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pStyle w:val="852"/>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gridSpan w:val="3"/>
            <w:tcBorders>
              <w:top w:val="single" w:color="000000" w:sz="4" w:space="0"/>
              <w:left w:val="single" w:color="000000" w:sz="4" w:space="0"/>
              <w:bottom w:val="single" w:color="000000" w:sz="4" w:space="0"/>
              <w:right w:val="single" w:color="000000" w:sz="4" w:space="0"/>
            </w:tcBorders>
            <w:tcW w:w="4341" w:type="dxa"/>
            <w:vAlign w:val="center"/>
            <w:textDirection w:val="lrTb"/>
            <w:noWrap w:val="false"/>
          </w:tcPr>
          <w:p>
            <w:pPr>
              <w:pStyle w:val="852"/>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gridSpan w:val="3"/>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pStyle w:val="852"/>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788" w:type="dxa"/>
            <w:vAlign w:val="center"/>
            <w:textDirection w:val="lrTb"/>
            <w:noWrap w:val="false"/>
          </w:tcPr>
          <w:p>
            <w:pPr>
              <w:pStyle w:val="852"/>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r>
      <w:tr>
        <w:trPr>
          <w:trHeight w:val="851"/>
        </w:trPr>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pStyle w:val="852"/>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gridSpan w:val="3"/>
            <w:tcBorders>
              <w:top w:val="single" w:color="000000" w:sz="4" w:space="0"/>
              <w:left w:val="single" w:color="000000" w:sz="4" w:space="0"/>
              <w:bottom w:val="single" w:color="000000" w:sz="4" w:space="0"/>
              <w:right w:val="single" w:color="000000" w:sz="4" w:space="0"/>
            </w:tcBorders>
            <w:tcW w:w="4341" w:type="dxa"/>
            <w:vAlign w:val="center"/>
            <w:textDirection w:val="lrTb"/>
            <w:noWrap w:val="false"/>
          </w:tcPr>
          <w:p>
            <w:pPr>
              <w:pStyle w:val="852"/>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gridSpan w:val="3"/>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pStyle w:val="852"/>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788" w:type="dxa"/>
            <w:vAlign w:val="center"/>
            <w:textDirection w:val="lrTb"/>
            <w:noWrap w:val="false"/>
          </w:tcPr>
          <w:p>
            <w:pPr>
              <w:pStyle w:val="852"/>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r>
      <w:tr>
        <w:trPr>
          <w:trHeight w:val="851"/>
        </w:trPr>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pStyle w:val="852"/>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gridSpan w:val="3"/>
            <w:tcBorders>
              <w:top w:val="single" w:color="000000" w:sz="4" w:space="0"/>
              <w:left w:val="single" w:color="000000" w:sz="4" w:space="0"/>
              <w:bottom w:val="single" w:color="000000" w:sz="4" w:space="0"/>
              <w:right w:val="single" w:color="000000" w:sz="4" w:space="0"/>
            </w:tcBorders>
            <w:tcW w:w="4341" w:type="dxa"/>
            <w:vAlign w:val="center"/>
            <w:textDirection w:val="lrTb"/>
            <w:noWrap w:val="false"/>
          </w:tcPr>
          <w:p>
            <w:pPr>
              <w:pStyle w:val="852"/>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gridSpan w:val="3"/>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pStyle w:val="852"/>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788" w:type="dxa"/>
            <w:vAlign w:val="center"/>
            <w:textDirection w:val="lrTb"/>
            <w:noWrap w:val="false"/>
          </w:tcPr>
          <w:p>
            <w:pPr>
              <w:pStyle w:val="852"/>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r>
      <w:tr>
        <w:trPr>
          <w:trHeight w:val="851"/>
        </w:trPr>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pStyle w:val="852"/>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gridSpan w:val="3"/>
            <w:tcBorders>
              <w:top w:val="single" w:color="000000" w:sz="4" w:space="0"/>
              <w:left w:val="single" w:color="000000" w:sz="4" w:space="0"/>
              <w:bottom w:val="single" w:color="000000" w:sz="4" w:space="0"/>
              <w:right w:val="single" w:color="000000" w:sz="4" w:space="0"/>
            </w:tcBorders>
            <w:tcW w:w="4341" w:type="dxa"/>
            <w:vAlign w:val="center"/>
            <w:textDirection w:val="lrTb"/>
            <w:noWrap w:val="false"/>
          </w:tcPr>
          <w:p>
            <w:pPr>
              <w:pStyle w:val="852"/>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gridSpan w:val="3"/>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pStyle w:val="852"/>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788" w:type="dxa"/>
            <w:vAlign w:val="center"/>
            <w:textDirection w:val="lrTb"/>
            <w:noWrap w:val="false"/>
          </w:tcPr>
          <w:p>
            <w:pPr>
              <w:pStyle w:val="852"/>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r>
      <w:tr>
        <w:trPr>
          <w:trHeight w:val="851"/>
        </w:trPr>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pStyle w:val="852"/>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gridSpan w:val="3"/>
            <w:tcBorders>
              <w:top w:val="single" w:color="000000" w:sz="4" w:space="0"/>
              <w:left w:val="single" w:color="000000" w:sz="4" w:space="0"/>
              <w:bottom w:val="single" w:color="000000" w:sz="4" w:space="0"/>
              <w:right w:val="single" w:color="000000" w:sz="4" w:space="0"/>
            </w:tcBorders>
            <w:tcW w:w="4341" w:type="dxa"/>
            <w:vAlign w:val="center"/>
            <w:textDirection w:val="lrTb"/>
            <w:noWrap w:val="false"/>
          </w:tcPr>
          <w:p>
            <w:pPr>
              <w:pStyle w:val="852"/>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gridSpan w:val="3"/>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pStyle w:val="852"/>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788" w:type="dxa"/>
            <w:vAlign w:val="center"/>
            <w:textDirection w:val="lrTb"/>
            <w:noWrap w:val="false"/>
          </w:tcPr>
          <w:p>
            <w:pPr>
              <w:pStyle w:val="852"/>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r>
    </w:tbl>
    <w:p>
      <w:pPr>
        <w:pStyle w:val="801"/>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801"/>
        <w:ind w:firstLine="420"/>
        <w:jc w:val="left"/>
        <w:widowControl/>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说明：</w:t>
      </w:r>
      <w:r>
        <w:rPr>
          <w:rFonts w:hint="eastAsia" w:ascii="宋体" w:hAnsi="宋体" w:eastAsia="宋体" w:cs="宋体"/>
          <w:color w:val="000000"/>
          <w:sz w:val="24"/>
          <w:szCs w:val="24"/>
          <w:highlight w:val="none"/>
          <w:lang w:val="zh-CN"/>
        </w:rPr>
      </w:r>
      <w:r/>
    </w:p>
    <w:p>
      <w:pPr>
        <w:pStyle w:val="801"/>
        <w:ind w:firstLine="420"/>
        <w:rPr>
          <w:rFonts w:hint="eastAsia" w:ascii="宋体" w:hAnsi="宋体" w:eastAsia="宋体" w:cs="宋体"/>
          <w:b/>
          <w:color w:val="000000"/>
          <w:sz w:val="24"/>
          <w:szCs w:val="24"/>
          <w:highlight w:val="none"/>
          <w:lang w:val="zh-CN"/>
        </w:rPr>
      </w:pPr>
      <w:r>
        <w:rPr>
          <w:rFonts w:hint="eastAsia" w:ascii="宋体" w:hAnsi="宋体" w:eastAsia="宋体" w:cs="宋体"/>
          <w:color w:val="000000"/>
          <w:sz w:val="24"/>
          <w:szCs w:val="24"/>
          <w:highlight w:val="none"/>
          <w:lang w:val="zh-CN"/>
        </w:rPr>
        <w:t xml:space="preserve">1、如果行、列数不够，请自行增加。</w:t>
      </w:r>
      <w:r>
        <w:rPr>
          <w:rFonts w:hint="eastAsia" w:ascii="宋体" w:hAnsi="宋体" w:eastAsia="宋体" w:cs="宋体"/>
          <w:b/>
          <w:color w:val="000000"/>
          <w:sz w:val="24"/>
          <w:szCs w:val="24"/>
          <w:highlight w:val="none"/>
          <w:lang w:val="zh-CN"/>
        </w:rPr>
      </w:r>
      <w:r/>
    </w:p>
    <w:p>
      <w:pPr>
        <w:pStyle w:val="801"/>
        <w:ind w:firstLine="420"/>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lang w:val="zh-CN"/>
        </w:rPr>
        <w:t xml:space="preserve">2、</w:t>
      </w:r>
      <w:r>
        <w:rPr>
          <w:rFonts w:hint="eastAsia" w:ascii="宋体" w:hAnsi="宋体" w:eastAsia="宋体" w:cs="宋体"/>
          <w:b/>
          <w:color w:val="000000"/>
          <w:szCs w:val="21"/>
          <w:highlight w:val="none"/>
          <w:lang w:val="zh-CN"/>
        </w:rPr>
        <w:t xml:space="preserve">提供以上人员的相关业绩证明材料扫描件加盖，证明材料若不能体现评审要求的职务，则不予认可。</w:t>
      </w:r>
      <w:r>
        <w:rPr>
          <w:rFonts w:hint="eastAsia" w:ascii="宋体" w:hAnsi="宋体" w:eastAsia="宋体" w:cs="宋体"/>
          <w:color w:val="000000"/>
          <w:sz w:val="24"/>
          <w:szCs w:val="24"/>
          <w:highlight w:val="none"/>
        </w:rPr>
      </w:r>
      <w:r/>
    </w:p>
    <w:p>
      <w:pPr>
        <w:pStyle w:val="801"/>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801"/>
        <w:jc w:val="center"/>
        <w:rPr>
          <w:rFonts w:hint="eastAsia" w:ascii="宋体" w:hAnsi="宋体" w:eastAsia="宋体" w:cs="宋体"/>
          <w:color w:val="000000"/>
          <w:sz w:val="32"/>
          <w:szCs w:val="32"/>
          <w:highlight w:val="none"/>
        </w:rPr>
      </w:pPr>
      <w:r>
        <w:rPr>
          <w:rFonts w:hint="eastAsia" w:ascii="宋体" w:hAnsi="宋体" w:eastAsia="宋体" w:cs="宋体"/>
          <w:color w:val="000000"/>
          <w:sz w:val="24"/>
          <w:highlight w:val="none"/>
        </w:rPr>
        <w:br w:type="page" w:clear="all"/>
      </w:r>
      <w:r>
        <w:rPr>
          <w:rFonts w:hint="eastAsia" w:ascii="宋体" w:hAnsi="宋体" w:eastAsia="宋体" w:cs="宋体"/>
          <w:color w:val="000000"/>
          <w:sz w:val="32"/>
          <w:szCs w:val="32"/>
          <w:highlight w:val="none"/>
        </w:rPr>
        <w:t xml:space="preserve">表4  企业代表工程表</w:t>
      </w:r>
      <w:r>
        <w:rPr>
          <w:rFonts w:hint="eastAsia" w:ascii="宋体" w:hAnsi="宋体" w:eastAsia="宋体" w:cs="宋体"/>
          <w:color w:val="000000"/>
          <w:sz w:val="32"/>
          <w:szCs w:val="32"/>
          <w:highlight w:val="none"/>
        </w:rPr>
      </w:r>
      <w:r/>
    </w:p>
    <w:p>
      <w:pPr>
        <w:pStyle w:val="801"/>
        <w:rPr>
          <w:rFonts w:hint="eastAsia" w:ascii="宋体" w:hAnsi="宋体" w:eastAsia="宋体" w:cs="宋体"/>
          <w:color w:val="000000"/>
          <w:highlight w:val="none"/>
        </w:rPr>
      </w:pPr>
      <w:r>
        <w:rPr>
          <w:rFonts w:hint="eastAsia" w:ascii="宋体" w:hAnsi="宋体" w:eastAsia="宋体" w:cs="宋体"/>
          <w:color w:val="000000"/>
          <w:highlight w:val="none"/>
        </w:rPr>
      </w:r>
      <w:r/>
    </w:p>
    <w:tbl>
      <w:tblPr>
        <w:tblW w:w="915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8"/>
        <w:gridCol w:w="1334"/>
        <w:gridCol w:w="1169"/>
        <w:gridCol w:w="1280"/>
        <w:gridCol w:w="1253"/>
        <w:gridCol w:w="974"/>
        <w:gridCol w:w="1186"/>
        <w:gridCol w:w="1280"/>
      </w:tblGrid>
      <w:tr>
        <w:trPr>
          <w:trHeight w:val="833"/>
        </w:trPr>
        <w:tc>
          <w:tcPr>
            <w:tcW w:w="678" w:type="dxa"/>
            <w:vAlign w:val="center"/>
            <w:textDirection w:val="lrTb"/>
            <w:noWrap w:val="false"/>
          </w:tcPr>
          <w:p>
            <w:pPr>
              <w:pStyle w:val="801"/>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序号</w:t>
            </w:r>
            <w:r>
              <w:rPr>
                <w:rFonts w:hint="eastAsia" w:ascii="宋体" w:hAnsi="宋体" w:eastAsia="宋体" w:cs="宋体"/>
                <w:color w:val="000000"/>
                <w:sz w:val="21"/>
                <w:szCs w:val="21"/>
                <w:highlight w:val="none"/>
              </w:rPr>
            </w:r>
            <w:r/>
          </w:p>
        </w:tc>
        <w:tc>
          <w:tcPr>
            <w:tcW w:w="1334" w:type="dxa"/>
            <w:vAlign w:val="center"/>
            <w:textDirection w:val="lrTb"/>
            <w:noWrap w:val="false"/>
          </w:tcPr>
          <w:p>
            <w:pPr>
              <w:pStyle w:val="801"/>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项目名称</w:t>
            </w:r>
            <w:r>
              <w:rPr>
                <w:rFonts w:hint="eastAsia" w:ascii="宋体" w:hAnsi="宋体" w:eastAsia="宋体" w:cs="宋体"/>
                <w:color w:val="000000"/>
                <w:sz w:val="21"/>
                <w:szCs w:val="21"/>
                <w:highlight w:val="none"/>
              </w:rPr>
            </w:r>
            <w:r/>
          </w:p>
        </w:tc>
        <w:tc>
          <w:tcPr>
            <w:tcW w:w="1169" w:type="dxa"/>
            <w:vAlign w:val="center"/>
            <w:textDirection w:val="lrTb"/>
            <w:noWrap w:val="false"/>
          </w:tcPr>
          <w:p>
            <w:pPr>
              <w:pStyle w:val="801"/>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主要完成工作内容</w:t>
            </w:r>
            <w:r>
              <w:rPr>
                <w:rFonts w:hint="eastAsia" w:ascii="宋体" w:hAnsi="宋体" w:eastAsia="宋体" w:cs="宋体"/>
                <w:color w:val="000000"/>
                <w:sz w:val="21"/>
                <w:szCs w:val="21"/>
                <w:highlight w:val="none"/>
              </w:rPr>
            </w:r>
            <w:r/>
          </w:p>
        </w:tc>
        <w:tc>
          <w:tcPr>
            <w:tcW w:w="1280" w:type="dxa"/>
            <w:vAlign w:val="center"/>
            <w:textDirection w:val="lrTb"/>
            <w:noWrap w:val="false"/>
          </w:tcPr>
          <w:p>
            <w:pPr>
              <w:pStyle w:val="801"/>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业主单位</w:t>
            </w:r>
            <w:r>
              <w:rPr>
                <w:rFonts w:hint="eastAsia" w:ascii="宋体" w:hAnsi="宋体" w:eastAsia="宋体" w:cs="宋体"/>
                <w:color w:val="000000"/>
                <w:sz w:val="21"/>
                <w:szCs w:val="21"/>
                <w:highlight w:val="none"/>
              </w:rPr>
            </w:r>
            <w:r/>
          </w:p>
        </w:tc>
        <w:tc>
          <w:tcPr>
            <w:tcW w:w="1253" w:type="dxa"/>
            <w:vAlign w:val="center"/>
            <w:textDirection w:val="lrTb"/>
            <w:noWrap w:val="false"/>
          </w:tcPr>
          <w:p>
            <w:pPr>
              <w:pStyle w:val="801"/>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合同总额</w:t>
            </w:r>
            <w:r>
              <w:rPr>
                <w:rFonts w:hint="eastAsia" w:ascii="宋体" w:hAnsi="宋体" w:eastAsia="宋体" w:cs="宋体"/>
                <w:color w:val="000000"/>
                <w:sz w:val="21"/>
                <w:szCs w:val="21"/>
                <w:highlight w:val="none"/>
              </w:rPr>
            </w:r>
            <w:r/>
          </w:p>
        </w:tc>
        <w:tc>
          <w:tcPr>
            <w:tcW w:w="974" w:type="dxa"/>
            <w:vAlign w:val="center"/>
            <w:textDirection w:val="lrTb"/>
            <w:noWrap w:val="false"/>
          </w:tcPr>
          <w:p>
            <w:pPr>
              <w:pStyle w:val="801"/>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项目负责人</w:t>
            </w:r>
            <w:r>
              <w:rPr>
                <w:rFonts w:hint="eastAsia" w:ascii="宋体" w:hAnsi="宋体" w:eastAsia="宋体" w:cs="宋体"/>
                <w:color w:val="000000"/>
                <w:sz w:val="21"/>
                <w:szCs w:val="21"/>
                <w:highlight w:val="none"/>
              </w:rPr>
            </w:r>
            <w:r/>
          </w:p>
        </w:tc>
        <w:tc>
          <w:tcPr>
            <w:tcW w:w="1186" w:type="dxa"/>
            <w:vAlign w:val="center"/>
            <w:textDirection w:val="lrTb"/>
            <w:noWrap w:val="false"/>
          </w:tcPr>
          <w:p>
            <w:pPr>
              <w:pStyle w:val="801"/>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合同签订时间/工期</w:t>
            </w:r>
            <w:r>
              <w:rPr>
                <w:rFonts w:hint="eastAsia" w:ascii="宋体" w:hAnsi="宋体" w:eastAsia="宋体" w:cs="宋体"/>
                <w:color w:val="000000"/>
                <w:sz w:val="21"/>
                <w:szCs w:val="21"/>
                <w:highlight w:val="none"/>
              </w:rPr>
            </w:r>
            <w:r/>
          </w:p>
        </w:tc>
        <w:tc>
          <w:tcPr>
            <w:tcW w:w="1280" w:type="dxa"/>
            <w:vAlign w:val="center"/>
            <w:textDirection w:val="lrTb"/>
            <w:noWrap w:val="false"/>
          </w:tcPr>
          <w:p>
            <w:pPr>
              <w:pStyle w:val="801"/>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证明材料</w:t>
            </w:r>
            <w:r>
              <w:rPr>
                <w:rFonts w:hint="eastAsia" w:ascii="宋体" w:hAnsi="宋体" w:eastAsia="宋体" w:cs="宋体"/>
                <w:color w:val="000000"/>
                <w:sz w:val="21"/>
                <w:szCs w:val="21"/>
                <w:highlight w:val="none"/>
              </w:rPr>
            </w:r>
            <w:r/>
          </w:p>
          <w:p>
            <w:pPr>
              <w:pStyle w:val="801"/>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所在页码</w:t>
            </w:r>
            <w:r>
              <w:rPr>
                <w:rFonts w:hint="eastAsia" w:ascii="宋体" w:hAnsi="宋体" w:eastAsia="宋体" w:cs="宋体"/>
                <w:color w:val="000000"/>
                <w:sz w:val="21"/>
                <w:szCs w:val="21"/>
                <w:highlight w:val="none"/>
              </w:rPr>
            </w:r>
            <w:r/>
          </w:p>
        </w:tc>
      </w:tr>
      <w:tr>
        <w:trPr>
          <w:trHeight w:val="688"/>
        </w:trPr>
        <w:tc>
          <w:tcPr>
            <w:tcW w:w="678" w:type="dxa"/>
            <w:vAlign w:val="center"/>
            <w:textDirection w:val="lrTb"/>
            <w:noWrap w:val="false"/>
          </w:tcPr>
          <w:p>
            <w:pPr>
              <w:pStyle w:val="801"/>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W w:w="1334" w:type="dxa"/>
            <w:vAlign w:val="center"/>
            <w:textDirection w:val="lrTb"/>
            <w:noWrap w:val="false"/>
          </w:tcPr>
          <w:p>
            <w:pPr>
              <w:pStyle w:val="801"/>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69" w:type="dxa"/>
            <w:vAlign w:val="center"/>
            <w:textDirection w:val="lrTb"/>
            <w:noWrap w:val="false"/>
          </w:tcPr>
          <w:p>
            <w:pPr>
              <w:pStyle w:val="801"/>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80" w:type="dxa"/>
            <w:vAlign w:val="center"/>
            <w:textDirection w:val="lrTb"/>
            <w:noWrap w:val="false"/>
          </w:tcPr>
          <w:p>
            <w:pPr>
              <w:pStyle w:val="801"/>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53" w:type="dxa"/>
            <w:vAlign w:val="center"/>
            <w:textDirection w:val="lrTb"/>
            <w:noWrap w:val="false"/>
          </w:tcPr>
          <w:p>
            <w:pPr>
              <w:pStyle w:val="801"/>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74" w:type="dxa"/>
            <w:vAlign w:val="center"/>
            <w:textDirection w:val="lrTb"/>
            <w:noWrap w:val="false"/>
          </w:tcPr>
          <w:p>
            <w:pPr>
              <w:pStyle w:val="801"/>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86" w:type="dxa"/>
            <w:vAlign w:val="center"/>
            <w:textDirection w:val="lrTb"/>
            <w:noWrap w:val="false"/>
          </w:tcPr>
          <w:p>
            <w:pPr>
              <w:pStyle w:val="801"/>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80" w:type="dxa"/>
            <w:vAlign w:val="center"/>
            <w:textDirection w:val="lrTb"/>
            <w:noWrap w:val="false"/>
          </w:tcPr>
          <w:p>
            <w:pPr>
              <w:pStyle w:val="801"/>
              <w:ind w:firstLine="88"/>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688"/>
        </w:trPr>
        <w:tc>
          <w:tcPr>
            <w:tcW w:w="678" w:type="dxa"/>
            <w:vAlign w:val="center"/>
            <w:textDirection w:val="lrTb"/>
            <w:noWrap w:val="false"/>
          </w:tcPr>
          <w:p>
            <w:pPr>
              <w:pStyle w:val="801"/>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c>
          <w:tcPr>
            <w:tcW w:w="1334" w:type="dxa"/>
            <w:vAlign w:val="center"/>
            <w:textDirection w:val="lrTb"/>
            <w:noWrap w:val="false"/>
          </w:tcPr>
          <w:p>
            <w:pPr>
              <w:pStyle w:val="801"/>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69" w:type="dxa"/>
            <w:vAlign w:val="center"/>
            <w:textDirection w:val="lrTb"/>
            <w:noWrap w:val="false"/>
          </w:tcPr>
          <w:p>
            <w:pPr>
              <w:pStyle w:val="801"/>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80" w:type="dxa"/>
            <w:vAlign w:val="center"/>
            <w:textDirection w:val="lrTb"/>
            <w:noWrap w:val="false"/>
          </w:tcPr>
          <w:p>
            <w:pPr>
              <w:pStyle w:val="801"/>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53" w:type="dxa"/>
            <w:vAlign w:val="center"/>
            <w:textDirection w:val="lrTb"/>
            <w:noWrap w:val="false"/>
          </w:tcPr>
          <w:p>
            <w:pPr>
              <w:pStyle w:val="801"/>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74" w:type="dxa"/>
            <w:vAlign w:val="center"/>
            <w:textDirection w:val="lrTb"/>
            <w:noWrap w:val="false"/>
          </w:tcPr>
          <w:p>
            <w:pPr>
              <w:pStyle w:val="801"/>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86" w:type="dxa"/>
            <w:vAlign w:val="center"/>
            <w:textDirection w:val="lrTb"/>
            <w:noWrap w:val="false"/>
          </w:tcPr>
          <w:p>
            <w:pPr>
              <w:pStyle w:val="801"/>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80" w:type="dxa"/>
            <w:vAlign w:val="center"/>
            <w:textDirection w:val="lrTb"/>
            <w:noWrap w:val="false"/>
          </w:tcPr>
          <w:p>
            <w:pPr>
              <w:pStyle w:val="801"/>
              <w:ind w:firstLine="88"/>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688"/>
        </w:trPr>
        <w:tc>
          <w:tcPr>
            <w:tcW w:w="678" w:type="dxa"/>
            <w:vAlign w:val="center"/>
            <w:textDirection w:val="lrTb"/>
            <w:noWrap w:val="false"/>
          </w:tcPr>
          <w:p>
            <w:pPr>
              <w:pStyle w:val="801"/>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rPr>
            </w:r>
            <w:r/>
          </w:p>
        </w:tc>
        <w:tc>
          <w:tcPr>
            <w:tcW w:w="1334" w:type="dxa"/>
            <w:vAlign w:val="center"/>
            <w:textDirection w:val="lrTb"/>
            <w:noWrap w:val="false"/>
          </w:tcPr>
          <w:p>
            <w:pPr>
              <w:pStyle w:val="801"/>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69" w:type="dxa"/>
            <w:vAlign w:val="center"/>
            <w:textDirection w:val="lrTb"/>
            <w:noWrap w:val="false"/>
          </w:tcPr>
          <w:p>
            <w:pPr>
              <w:pStyle w:val="801"/>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80" w:type="dxa"/>
            <w:vAlign w:val="center"/>
            <w:textDirection w:val="lrTb"/>
            <w:noWrap w:val="false"/>
          </w:tcPr>
          <w:p>
            <w:pPr>
              <w:pStyle w:val="801"/>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53" w:type="dxa"/>
            <w:vAlign w:val="center"/>
            <w:textDirection w:val="lrTb"/>
            <w:noWrap w:val="false"/>
          </w:tcPr>
          <w:p>
            <w:pPr>
              <w:pStyle w:val="801"/>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74" w:type="dxa"/>
            <w:vAlign w:val="center"/>
            <w:textDirection w:val="lrTb"/>
            <w:noWrap w:val="false"/>
          </w:tcPr>
          <w:p>
            <w:pPr>
              <w:pStyle w:val="801"/>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86" w:type="dxa"/>
            <w:vAlign w:val="center"/>
            <w:textDirection w:val="lrTb"/>
            <w:noWrap w:val="false"/>
          </w:tcPr>
          <w:p>
            <w:pPr>
              <w:pStyle w:val="801"/>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80" w:type="dxa"/>
            <w:vAlign w:val="center"/>
            <w:textDirection w:val="lrTb"/>
            <w:noWrap w:val="false"/>
          </w:tcPr>
          <w:p>
            <w:pPr>
              <w:pStyle w:val="801"/>
              <w:ind w:firstLine="88"/>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688"/>
        </w:trPr>
        <w:tc>
          <w:tcPr>
            <w:tcW w:w="678" w:type="dxa"/>
            <w:vAlign w:val="center"/>
            <w:textDirection w:val="lrTb"/>
            <w:noWrap w:val="false"/>
          </w:tcPr>
          <w:p>
            <w:pPr>
              <w:pStyle w:val="801"/>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tc>
        <w:tc>
          <w:tcPr>
            <w:tcW w:w="1334" w:type="dxa"/>
            <w:vAlign w:val="center"/>
            <w:textDirection w:val="lrTb"/>
            <w:noWrap w:val="false"/>
          </w:tcPr>
          <w:p>
            <w:pPr>
              <w:pStyle w:val="801"/>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tc>
        <w:tc>
          <w:tcPr>
            <w:tcW w:w="1169" w:type="dxa"/>
            <w:vAlign w:val="center"/>
            <w:textDirection w:val="lrTb"/>
            <w:noWrap w:val="false"/>
          </w:tcPr>
          <w:p>
            <w:pPr>
              <w:pStyle w:val="801"/>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80" w:type="dxa"/>
            <w:vAlign w:val="center"/>
            <w:textDirection w:val="lrTb"/>
            <w:noWrap w:val="false"/>
          </w:tcPr>
          <w:p>
            <w:pPr>
              <w:pStyle w:val="801"/>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53" w:type="dxa"/>
            <w:vAlign w:val="center"/>
            <w:textDirection w:val="lrTb"/>
            <w:noWrap w:val="false"/>
          </w:tcPr>
          <w:p>
            <w:pPr>
              <w:pStyle w:val="801"/>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74" w:type="dxa"/>
            <w:vAlign w:val="center"/>
            <w:textDirection w:val="lrTb"/>
            <w:noWrap w:val="false"/>
          </w:tcPr>
          <w:p>
            <w:pPr>
              <w:pStyle w:val="801"/>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86" w:type="dxa"/>
            <w:vAlign w:val="center"/>
            <w:textDirection w:val="lrTb"/>
            <w:noWrap w:val="false"/>
          </w:tcPr>
          <w:p>
            <w:pPr>
              <w:pStyle w:val="801"/>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80" w:type="dxa"/>
            <w:vAlign w:val="center"/>
            <w:textDirection w:val="lrTb"/>
            <w:noWrap w:val="false"/>
          </w:tcPr>
          <w:p>
            <w:pPr>
              <w:pStyle w:val="801"/>
              <w:ind w:firstLine="88"/>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bl>
    <w:p>
      <w:pPr>
        <w:pStyle w:val="80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01"/>
        <w:rPr>
          <w:rFonts w:hint="eastAsia" w:ascii="宋体" w:hAnsi="宋体" w:eastAsia="宋体" w:cs="宋体"/>
          <w:b/>
          <w:color w:val="000000"/>
          <w:szCs w:val="21"/>
          <w:highlight w:val="none"/>
          <w:lang w:val="zh-CN"/>
        </w:rPr>
      </w:pPr>
      <w:r>
        <w:rPr>
          <w:rFonts w:hint="eastAsia" w:ascii="宋体" w:hAnsi="宋体" w:eastAsia="宋体" w:cs="宋体"/>
          <w:b/>
          <w:color w:val="000000"/>
          <w:szCs w:val="21"/>
          <w:highlight w:val="none"/>
          <w:lang w:val="zh-CN"/>
        </w:rPr>
        <w:t xml:space="preserve">注：表中所列项目，须提供所签订的合同及竣工验收证明的扫描件（加盖</w:t>
      </w:r>
      <w:r>
        <w:rPr>
          <w:rFonts w:hint="eastAsia" w:ascii="宋体" w:hAnsi="宋体" w:eastAsia="宋体" w:cs="宋体"/>
          <w:b/>
          <w:color w:val="000000"/>
          <w:szCs w:val="21"/>
          <w:highlight w:val="none"/>
          <w:lang w:val="zh-CN"/>
        </w:rPr>
        <w:t xml:space="preserve">CA电子</w:t>
      </w:r>
      <w:r>
        <w:rPr>
          <w:rFonts w:hint="eastAsia" w:ascii="宋体" w:hAnsi="宋体" w:eastAsia="宋体" w:cs="宋体"/>
          <w:b/>
          <w:color w:val="000000"/>
          <w:szCs w:val="21"/>
          <w:highlight w:val="none"/>
          <w:lang w:val="en-US" w:eastAsia="zh-CN"/>
        </w:rPr>
        <w:t xml:space="preserve">签</w:t>
      </w:r>
      <w:r>
        <w:rPr>
          <w:rFonts w:hint="eastAsia" w:ascii="宋体" w:hAnsi="宋体" w:eastAsia="宋体" w:cs="宋体"/>
          <w:b/>
          <w:color w:val="000000"/>
          <w:szCs w:val="21"/>
          <w:highlight w:val="none"/>
          <w:lang w:val="zh-CN"/>
        </w:rPr>
        <w:t xml:space="preserve">章</w:t>
      </w:r>
      <w:r>
        <w:rPr>
          <w:rFonts w:hint="eastAsia" w:ascii="宋体" w:hAnsi="宋体" w:eastAsia="宋体" w:cs="宋体"/>
          <w:b/>
          <w:color w:val="000000"/>
          <w:szCs w:val="21"/>
          <w:highlight w:val="none"/>
          <w:lang w:val="zh-CN"/>
        </w:rPr>
        <w:t xml:space="preserve">）。</w:t>
      </w:r>
      <w:r>
        <w:rPr>
          <w:rFonts w:hint="eastAsia" w:ascii="宋体" w:hAnsi="宋体" w:eastAsia="宋体" w:cs="宋体"/>
          <w:b/>
          <w:color w:val="000000"/>
          <w:szCs w:val="21"/>
          <w:highlight w:val="none"/>
          <w:lang w:val="zh-CN"/>
        </w:rPr>
      </w:r>
      <w:r/>
    </w:p>
    <w:p>
      <w:pPr>
        <w:pStyle w:val="801"/>
        <w:jc w:val="center"/>
        <w:spacing w:line="500" w:lineRule="exact"/>
        <w:rPr>
          <w:rFonts w:hint="eastAsia" w:ascii="宋体" w:hAnsi="宋体" w:eastAsia="宋体" w:cs="宋体"/>
          <w:color w:val="000000"/>
          <w:sz w:val="32"/>
          <w:szCs w:val="32"/>
          <w:highlight w:val="none"/>
        </w:rPr>
        <w:outlineLvl w:val="2"/>
      </w:pPr>
      <w:r>
        <w:rPr>
          <w:rFonts w:hint="eastAsia" w:ascii="宋体" w:hAnsi="宋体" w:eastAsia="宋体" w:cs="宋体"/>
          <w:color w:val="000000"/>
          <w:highlight w:val="none"/>
        </w:rPr>
        <w:br w:type="page" w:clear="all"/>
      </w:r>
      <w:bookmarkStart w:id="200" w:name="_Toc211090876"/>
      <w:r>
        <w:rPr>
          <w:rFonts w:hint="eastAsia" w:ascii="宋体" w:hAnsi="宋体" w:eastAsia="宋体" w:cs="宋体"/>
          <w:b/>
          <w:bCs/>
          <w:color w:val="000000"/>
          <w:sz w:val="32"/>
          <w:szCs w:val="32"/>
          <w:highlight w:val="none"/>
          <w:lang w:val="en-US" w:eastAsia="zh-CN"/>
        </w:rPr>
        <w:t xml:space="preserve">七</w:t>
      </w:r>
      <w:r>
        <w:rPr>
          <w:rFonts w:hint="eastAsia" w:ascii="宋体" w:hAnsi="宋体" w:eastAsia="宋体" w:cs="宋体"/>
          <w:b/>
          <w:bCs/>
          <w:color w:val="000000"/>
          <w:sz w:val="32"/>
          <w:szCs w:val="32"/>
          <w:highlight w:val="none"/>
        </w:rPr>
        <w:t xml:space="preserve">、附件</w:t>
      </w:r>
      <w:bookmarkEnd w:id="200"/>
      <w:r>
        <w:rPr>
          <w:rFonts w:hint="eastAsia" w:ascii="宋体" w:hAnsi="宋体" w:eastAsia="宋体" w:cs="宋体"/>
          <w:color w:val="000000"/>
          <w:sz w:val="32"/>
          <w:szCs w:val="32"/>
          <w:highlight w:val="none"/>
        </w:rPr>
      </w:r>
      <w:r/>
    </w:p>
    <w:p>
      <w:pPr>
        <w:pStyle w:val="801"/>
        <w:ind w:firstLine="42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66"/>
        <w:ind w:left="0" w:firstLine="0"/>
        <w:spacing w:before="244"/>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附件一、中小企业声明函格式（注：符合中小企业划型标准的企业请提供本函，不符合的不提供本函）</w:t>
      </w:r>
      <w:r>
        <w:rPr>
          <w:rFonts w:hint="eastAsia" w:ascii="宋体" w:hAnsi="宋体" w:eastAsia="宋体" w:cs="宋体"/>
          <w:b/>
          <w:bCs/>
          <w:color w:val="000000"/>
          <w:highlight w:val="none"/>
        </w:rPr>
      </w:r>
      <w:r/>
    </w:p>
    <w:p>
      <w:pPr>
        <w:pStyle w:val="812"/>
        <w:ind w:left="2881" w:right="3180"/>
        <w:jc w:val="center"/>
        <w:spacing w:before="179"/>
        <w:rPr>
          <w:rFonts w:hint="eastAsia" w:ascii="宋体" w:hAnsi="宋体" w:eastAsia="宋体" w:cs="宋体"/>
          <w:color w:val="000000"/>
          <w:sz w:val="21"/>
          <w:highlight w:val="none"/>
        </w:rPr>
      </w:pPr>
      <w:r/>
      <w:bookmarkStart w:id="201" w:name="_Hlk46844983"/>
      <w:r>
        <w:rPr>
          <w:rFonts w:hint="eastAsia" w:ascii="宋体" w:hAnsi="宋体" w:eastAsia="宋体" w:cs="宋体"/>
          <w:color w:val="000000"/>
          <w:sz w:val="21"/>
          <w:highlight w:val="none"/>
        </w:rPr>
      </w:r>
      <w:r/>
    </w:p>
    <w:p>
      <w:pPr>
        <w:pStyle w:val="801"/>
        <w:ind w:right="0"/>
        <w:jc w:val="center"/>
        <w:keepLines w:val="0"/>
        <w:keepNext w:val="0"/>
        <w:pageBreakBefore w:val="0"/>
        <w:widowControl w:val="off"/>
        <w:rPr>
          <w:rFonts w:hint="eastAsia" w:ascii="宋体" w:hAnsi="宋体" w:eastAsia="宋体" w:cs="宋体"/>
          <w:b/>
          <w:color w:val="000000"/>
          <w:sz w:val="32"/>
          <w:szCs w:val="32"/>
          <w:highlight w:val="none"/>
        </w:rPr>
      </w:pPr>
      <w:r/>
      <w:bookmarkEnd w:id="201"/>
      <w:r>
        <w:rPr>
          <w:rFonts w:hint="eastAsia" w:ascii="宋体" w:hAnsi="宋体" w:eastAsia="宋体" w:cs="宋体"/>
          <w:b/>
          <w:color w:val="000000"/>
          <w:sz w:val="32"/>
          <w:szCs w:val="32"/>
          <w:highlight w:val="none"/>
        </w:rPr>
        <w:t xml:space="preserve">中小企业声明函（工程、服务）</w:t>
      </w:r>
      <w:r>
        <w:rPr>
          <w:rFonts w:hint="eastAsia" w:ascii="宋体" w:hAnsi="宋体" w:eastAsia="宋体" w:cs="宋体"/>
          <w:b/>
          <w:color w:val="000000"/>
          <w:sz w:val="32"/>
          <w:szCs w:val="32"/>
          <w:highlight w:val="none"/>
        </w:rPr>
      </w:r>
      <w:r/>
    </w:p>
    <w:p>
      <w:pPr>
        <w:pStyle w:val="801"/>
        <w:ind w:firstLine="480"/>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01"/>
        <w:ind w:firstLine="480"/>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本公司（联合体）郑重声明，根据《政府采购促进中小企业发展管理办法》（财库﹝2020﹞46 号）的规定，本公司（联合体）参加</w:t>
      </w:r>
      <w:r>
        <w:rPr>
          <w:rFonts w:hint="eastAsia" w:ascii="宋体" w:hAnsi="宋体" w:eastAsia="宋体" w:cs="宋体"/>
          <w:color w:val="000000"/>
          <w:sz w:val="24"/>
          <w:highlight w:val="none"/>
          <w:u w:val="single"/>
        </w:rPr>
        <w:t xml:space="preserve">（单位名称）</w:t>
      </w:r>
      <w:r>
        <w:rPr>
          <w:rFonts w:hint="eastAsia" w:ascii="宋体" w:hAnsi="宋体" w:eastAsia="宋体" w:cs="宋体"/>
          <w:color w:val="000000"/>
          <w:sz w:val="24"/>
          <w:highlight w:val="none"/>
        </w:rPr>
        <w:t xml:space="preserve">的</w:t>
      </w:r>
      <w:r>
        <w:rPr>
          <w:rFonts w:hint="eastAsia" w:ascii="宋体" w:hAnsi="宋体" w:eastAsia="宋体" w:cs="宋体"/>
          <w:color w:val="000000"/>
          <w:sz w:val="24"/>
          <w:highlight w:val="none"/>
          <w:u w:val="single"/>
        </w:rPr>
        <w:t xml:space="preserve">（项目名称）</w:t>
      </w:r>
      <w:r>
        <w:rPr>
          <w:rFonts w:hint="eastAsia" w:ascii="宋体" w:hAnsi="宋体" w:eastAsia="宋体" w:cs="宋体"/>
          <w:color w:val="000000"/>
          <w:sz w:val="24"/>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rPr>
          <w:rFonts w:hint="eastAsia" w:ascii="宋体" w:hAnsi="宋体" w:eastAsia="宋体" w:cs="宋体"/>
          <w:color w:val="000000"/>
          <w:sz w:val="24"/>
          <w:highlight w:val="none"/>
        </w:rPr>
      </w:r>
      <w:r/>
    </w:p>
    <w:p>
      <w:pPr>
        <w:pStyle w:val="801"/>
        <w:ind w:firstLine="480"/>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 </w:t>
      </w:r>
      <w:r>
        <w:rPr>
          <w:rFonts w:hint="eastAsia" w:ascii="宋体" w:hAnsi="宋体" w:eastAsia="宋体" w:cs="宋体"/>
          <w:color w:val="000000"/>
          <w:sz w:val="24"/>
          <w:highlight w:val="none"/>
          <w:u w:val="single"/>
        </w:rPr>
        <w:t xml:space="preserve">（标的名称）</w:t>
      </w:r>
      <w:r>
        <w:rPr>
          <w:rFonts w:hint="eastAsia" w:ascii="宋体" w:hAnsi="宋体" w:eastAsia="宋体" w:cs="宋体"/>
          <w:color w:val="000000"/>
          <w:sz w:val="24"/>
          <w:highlight w:val="none"/>
        </w:rPr>
        <w:t xml:space="preserve"> ，属于</w:t>
      </w:r>
      <w:r>
        <w:rPr>
          <w:rFonts w:hint="eastAsia" w:ascii="宋体" w:hAnsi="宋体" w:eastAsia="宋体" w:cs="宋体"/>
          <w:color w:val="000000"/>
          <w:sz w:val="24"/>
          <w:highlight w:val="none"/>
          <w:u w:val="single"/>
        </w:rPr>
        <w:t xml:space="preserve">（采购文件中明确的所属行业）</w:t>
      </w:r>
      <w:r>
        <w:rPr>
          <w:rFonts w:hint="eastAsia" w:ascii="宋体" w:hAnsi="宋体" w:eastAsia="宋体" w:cs="宋体"/>
          <w:color w:val="000000"/>
          <w:sz w:val="24"/>
          <w:highlight w:val="none"/>
        </w:rPr>
        <w:t xml:space="preserve">；承建（承接）企业为</w:t>
      </w:r>
      <w:r>
        <w:rPr>
          <w:rFonts w:hint="eastAsia" w:ascii="宋体" w:hAnsi="宋体" w:eastAsia="宋体" w:cs="宋体"/>
          <w:color w:val="000000"/>
          <w:sz w:val="24"/>
          <w:highlight w:val="none"/>
          <w:u w:val="single"/>
        </w:rPr>
        <w:t xml:space="preserve">（企业名称）</w:t>
      </w:r>
      <w:r>
        <w:rPr>
          <w:rFonts w:hint="eastAsia" w:ascii="宋体" w:hAnsi="宋体" w:eastAsia="宋体" w:cs="宋体"/>
          <w:color w:val="000000"/>
          <w:sz w:val="24"/>
          <w:highlight w:val="none"/>
        </w:rPr>
        <w:t xml:space="preserve">，从业人员</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人，营业收入为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万元，资产总额为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万元</w:t>
      </w:r>
      <w:r>
        <w:rPr>
          <w:rFonts w:hint="eastAsia" w:ascii="宋体" w:hAnsi="宋体" w:eastAsia="宋体" w:cs="宋体"/>
          <w:color w:val="000000"/>
          <w:sz w:val="24"/>
          <w:highlight w:val="none"/>
          <w:vertAlign w:val="superscript"/>
        </w:rPr>
        <w:t xml:space="preserve">1</w:t>
      </w:r>
      <w:r>
        <w:rPr>
          <w:rFonts w:hint="eastAsia" w:ascii="宋体" w:hAnsi="宋体" w:eastAsia="宋体" w:cs="宋体"/>
          <w:color w:val="000000"/>
          <w:sz w:val="24"/>
          <w:highlight w:val="none"/>
        </w:rPr>
        <w:t xml:space="preserve">，属于</w:t>
      </w:r>
      <w:r>
        <w:rPr>
          <w:rFonts w:hint="eastAsia" w:ascii="宋体" w:hAnsi="宋体" w:eastAsia="宋体" w:cs="宋体"/>
          <w:color w:val="000000"/>
          <w:sz w:val="24"/>
          <w:highlight w:val="none"/>
          <w:u w:val="single"/>
        </w:rPr>
        <w:t xml:space="preserve">（中型企业、小型企业、微型企业）</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801"/>
        <w:ind w:firstLine="480"/>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 </w:t>
      </w:r>
      <w:r>
        <w:rPr>
          <w:rFonts w:hint="eastAsia" w:ascii="宋体" w:hAnsi="宋体" w:eastAsia="宋体" w:cs="宋体"/>
          <w:color w:val="000000"/>
          <w:sz w:val="24"/>
          <w:highlight w:val="none"/>
          <w:u w:val="single"/>
        </w:rPr>
        <w:t xml:space="preserve">（标的名称）</w:t>
      </w:r>
      <w:r>
        <w:rPr>
          <w:rFonts w:hint="eastAsia" w:ascii="宋体" w:hAnsi="宋体" w:eastAsia="宋体" w:cs="宋体"/>
          <w:color w:val="000000"/>
          <w:sz w:val="24"/>
          <w:highlight w:val="none"/>
        </w:rPr>
        <w:t xml:space="preserve"> ，属于</w:t>
      </w:r>
      <w:r>
        <w:rPr>
          <w:rFonts w:hint="eastAsia" w:ascii="宋体" w:hAnsi="宋体" w:eastAsia="宋体" w:cs="宋体"/>
          <w:color w:val="000000"/>
          <w:sz w:val="24"/>
          <w:highlight w:val="none"/>
          <w:u w:val="single"/>
        </w:rPr>
        <w:t xml:space="preserve">（采购文件中明确的所属行业）</w:t>
      </w:r>
      <w:r>
        <w:rPr>
          <w:rFonts w:hint="eastAsia" w:ascii="宋体" w:hAnsi="宋体" w:eastAsia="宋体" w:cs="宋体"/>
          <w:color w:val="000000"/>
          <w:sz w:val="24"/>
          <w:highlight w:val="none"/>
        </w:rPr>
        <w:t xml:space="preserve">；承建（承接）企业为</w:t>
      </w:r>
      <w:r>
        <w:rPr>
          <w:rFonts w:hint="eastAsia" w:ascii="宋体" w:hAnsi="宋体" w:eastAsia="宋体" w:cs="宋体"/>
          <w:color w:val="000000"/>
          <w:sz w:val="24"/>
          <w:highlight w:val="none"/>
          <w:u w:val="single"/>
        </w:rPr>
        <w:t xml:space="preserve">（企业名称）</w:t>
      </w:r>
      <w:r>
        <w:rPr>
          <w:rFonts w:hint="eastAsia" w:ascii="宋体" w:hAnsi="宋体" w:eastAsia="宋体" w:cs="宋体"/>
          <w:color w:val="000000"/>
          <w:sz w:val="24"/>
          <w:highlight w:val="none"/>
        </w:rPr>
        <w:t xml:space="preserve">，从业人员</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人，营业收入为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万元，资产总额为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万元，属于</w:t>
      </w:r>
      <w:r>
        <w:rPr>
          <w:rFonts w:hint="eastAsia" w:ascii="宋体" w:hAnsi="宋体" w:eastAsia="宋体" w:cs="宋体"/>
          <w:color w:val="000000"/>
          <w:sz w:val="24"/>
          <w:highlight w:val="none"/>
          <w:u w:val="single"/>
        </w:rPr>
        <w:t xml:space="preserve">（中型企业、小型企业、微型企业）</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801"/>
        <w:ind w:firstLine="480"/>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801"/>
        <w:ind w:firstLine="480"/>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以上企业，不属于大企业的分支机构，不存在控股股东为大企业的情形，也不存在与大企业的负责人为同一人的情形。</w:t>
      </w:r>
      <w:r>
        <w:rPr>
          <w:rFonts w:hint="eastAsia" w:ascii="宋体" w:hAnsi="宋体" w:eastAsia="宋体" w:cs="宋体"/>
          <w:color w:val="000000"/>
          <w:sz w:val="24"/>
          <w:highlight w:val="none"/>
        </w:rPr>
      </w:r>
      <w:r/>
    </w:p>
    <w:p>
      <w:pPr>
        <w:pStyle w:val="801"/>
        <w:ind w:firstLine="480"/>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本企业对上述声明内容的真实性负责。如有虚假，将依法承担相应责任。</w:t>
      </w:r>
      <w:r>
        <w:rPr>
          <w:rFonts w:hint="eastAsia" w:ascii="宋体" w:hAnsi="宋体" w:eastAsia="宋体" w:cs="宋体"/>
          <w:color w:val="000000"/>
          <w:sz w:val="24"/>
          <w:highlight w:val="none"/>
        </w:rPr>
      </w:r>
      <w:r/>
    </w:p>
    <w:p>
      <w:pPr>
        <w:pStyle w:val="801"/>
        <w:ind w:firstLine="480"/>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01"/>
        <w:ind w:firstLine="480"/>
        <w:jc w:val="righ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企业名称（加盖CA电子公章）：    </w:t>
      </w:r>
      <w:r>
        <w:rPr>
          <w:rFonts w:hint="eastAsia" w:ascii="宋体" w:hAnsi="宋体" w:eastAsia="宋体" w:cs="宋体"/>
          <w:color w:val="000000"/>
          <w:sz w:val="24"/>
          <w:highlight w:val="none"/>
        </w:rPr>
      </w:r>
      <w:r/>
    </w:p>
    <w:p>
      <w:pPr>
        <w:pStyle w:val="801"/>
        <w:ind w:firstLine="480"/>
        <w:jc w:val="righ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日期：               </w:t>
      </w:r>
      <w:r>
        <w:rPr>
          <w:rFonts w:hint="eastAsia" w:ascii="宋体" w:hAnsi="宋体" w:eastAsia="宋体" w:cs="宋体"/>
          <w:color w:val="000000"/>
          <w:sz w:val="24"/>
          <w:highlight w:val="none"/>
        </w:rPr>
      </w:r>
      <w:r/>
    </w:p>
    <w:p>
      <w:pPr>
        <w:pStyle w:val="801"/>
        <w:rPr>
          <w:rFonts w:hint="eastAsia" w:ascii="宋体" w:hAnsi="宋体" w:eastAsia="宋体" w:cs="宋体"/>
          <w:color w:val="000000"/>
          <w:sz w:val="12"/>
          <w:highlight w:val="none"/>
        </w:rPr>
      </w:pPr>
      <w:r>
        <w:rPr>
          <w:rFonts w:hint="eastAsia" w:ascii="宋体" w:hAnsi="宋体" w:eastAsia="宋体" w:cs="宋体"/>
          <w:color w:val="000000"/>
          <w:sz w:val="12"/>
          <w:highlight w:val="none"/>
        </w:rPr>
      </w:r>
      <w:r/>
    </w:p>
    <w:p>
      <w:pPr>
        <w:pStyle w:val="801"/>
        <w:rPr>
          <w:rFonts w:hint="eastAsia" w:ascii="宋体" w:hAnsi="宋体" w:eastAsia="宋体" w:cs="宋体"/>
          <w:color w:val="000000"/>
          <w:sz w:val="12"/>
          <w:highlight w:val="none"/>
        </w:rPr>
      </w:pPr>
      <w:r>
        <w:rPr>
          <w:rFonts w:hint="eastAsia" w:ascii="宋体" w:hAnsi="宋体" w:eastAsia="宋体" w:cs="宋体"/>
          <w:color w:val="000000"/>
          <w:sz w:val="12"/>
          <w:highlight w:val="none"/>
        </w:rPr>
      </w:r>
      <w:r/>
    </w:p>
    <w:p>
      <w:pPr>
        <w:pStyle w:val="801"/>
        <w:rPr>
          <w:rFonts w:hint="eastAsia" w:ascii="宋体" w:hAnsi="宋体" w:eastAsia="宋体" w:cs="宋体"/>
          <w:color w:val="000000"/>
          <w:sz w:val="12"/>
          <w:highlight w:val="none"/>
        </w:rPr>
      </w:pPr>
      <w:r>
        <w:rPr>
          <w:rFonts w:hint="eastAsia" w:ascii="宋体" w:hAnsi="宋体" w:eastAsia="宋体" w:cs="宋体"/>
          <w:color w:val="000000"/>
          <w:sz w:val="12"/>
          <w:highlight w:val="none"/>
        </w:rPr>
      </w:r>
      <w:r/>
    </w:p>
    <w:p>
      <w:pPr>
        <w:pStyle w:val="812"/>
        <w:ind w:right="840" w:firstLine="482"/>
        <w:spacing w:before="124"/>
        <w:rPr>
          <w:rFonts w:hint="eastAsia" w:ascii="宋体" w:hAnsi="宋体" w:eastAsia="宋体" w:cs="宋体"/>
          <w:color w:val="000000"/>
          <w:sz w:val="24"/>
          <w:highlight w:val="none"/>
        </w:rPr>
      </w:pPr>
      <w:r>
        <w:rPr>
          <w:rFonts w:hint="eastAsia" w:ascii="宋体" w:hAnsi="宋体" w:eastAsia="宋体" w:cs="宋体"/>
          <w:b/>
          <w:color w:val="000000"/>
          <w:sz w:val="24"/>
          <w:highlight w:val="none"/>
        </w:rPr>
        <w:t xml:space="preserve">注：从业人员、营业收入、资产总额填报上一年度数据，无上一年度数据的新成立企业可不填报。</w:t>
      </w:r>
      <w:r>
        <w:rPr>
          <w:rFonts w:hint="eastAsia" w:ascii="宋体" w:hAnsi="宋体" w:eastAsia="宋体" w:cs="宋体"/>
          <w:color w:val="000000"/>
          <w:sz w:val="24"/>
          <w:highlight w:val="none"/>
        </w:rPr>
      </w:r>
      <w:r/>
    </w:p>
    <w:p>
      <w:pPr>
        <w:pStyle w:val="812"/>
        <w:ind w:left="753"/>
        <w:jc w:val="right"/>
        <w:spacing w:before="124"/>
        <w:rPr>
          <w:rFonts w:hint="eastAsia" w:ascii="宋体" w:hAnsi="宋体" w:eastAsia="宋体" w:cs="宋体"/>
          <w:color w:val="000000"/>
          <w:sz w:val="21"/>
          <w:szCs w:val="21"/>
          <w:highlight w:val="none"/>
        </w:rPr>
        <w:sectPr>
          <w:footnotePr/>
          <w:endnotePr/>
          <w:type w:val="nextPage"/>
          <w:pgSz w:w="11900" w:h="16840" w:orient="portrait"/>
          <w:pgMar w:top="1417" w:right="1417" w:bottom="1417" w:left="1417" w:header="720" w:footer="720" w:gutter="0"/>
          <w:cols w:num="1" w:sep="0" w:space="1701" w:equalWidth="1"/>
          <w:docGrid w:linePitch="360"/>
        </w:sectPr>
      </w:pPr>
      <w:r>
        <w:rPr>
          <w:rFonts w:hint="eastAsia" w:ascii="宋体" w:hAnsi="宋体" w:eastAsia="宋体" w:cs="宋体"/>
          <w:color w:val="000000"/>
          <w:sz w:val="21"/>
          <w:szCs w:val="21"/>
          <w:highlight w:val="none"/>
        </w:rPr>
      </w:r>
      <w:r/>
    </w:p>
    <w:p>
      <w:pPr>
        <w:pStyle w:val="866"/>
        <w:ind w:left="0"/>
        <w:spacing w:before="244"/>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附件二、残疾人福利性单位声明函格式</w:t>
      </w:r>
      <w:r>
        <w:rPr>
          <w:rFonts w:hint="eastAsia" w:ascii="宋体" w:hAnsi="宋体" w:eastAsia="宋体" w:cs="宋体"/>
          <w:b/>
          <w:bCs/>
          <w:color w:val="000000"/>
          <w:highlight w:val="none"/>
        </w:rPr>
      </w:r>
      <w:r/>
    </w:p>
    <w:p>
      <w:pPr>
        <w:pStyle w:val="812"/>
        <w:spacing w:before="2"/>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801"/>
        <w:ind w:right="3076"/>
        <w:jc w:val="center"/>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残疾人福利性单位声明函</w:t>
      </w:r>
      <w:r>
        <w:rPr>
          <w:rFonts w:hint="eastAsia" w:ascii="宋体" w:hAnsi="宋体" w:eastAsia="宋体" w:cs="宋体"/>
          <w:b/>
          <w:color w:val="000000"/>
          <w:sz w:val="32"/>
          <w:szCs w:val="32"/>
          <w:highlight w:val="none"/>
        </w:rPr>
      </w:r>
      <w:r/>
    </w:p>
    <w:p>
      <w:pPr>
        <w:pStyle w:val="80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（注：符合条件的残疾人福利性单位请提供本函，不符合的不提供本函）</w:t>
      </w:r>
      <w:r>
        <w:rPr>
          <w:rFonts w:hint="eastAsia" w:ascii="宋体" w:hAnsi="宋体" w:eastAsia="宋体" w:cs="宋体"/>
          <w:color w:val="000000"/>
          <w:sz w:val="24"/>
          <w:highlight w:val="none"/>
        </w:rPr>
      </w:r>
      <w:r/>
    </w:p>
    <w:p>
      <w:pPr>
        <w:pStyle w:val="80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01"/>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宋体" w:hAnsi="宋体" w:eastAsia="宋体" w:cs="宋体"/>
          <w:color w:val="000000"/>
          <w:sz w:val="24"/>
          <w:highlight w:val="none"/>
        </w:rPr>
      </w:r>
      <w:r/>
    </w:p>
    <w:p>
      <w:pPr>
        <w:pStyle w:val="801"/>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本单位对上述声明的真实性负责。如有虚假，将依法承担相应责任。</w:t>
      </w:r>
      <w:r>
        <w:rPr>
          <w:rFonts w:hint="eastAsia" w:ascii="宋体" w:hAnsi="宋体" w:eastAsia="宋体" w:cs="宋体"/>
          <w:color w:val="000000"/>
          <w:sz w:val="24"/>
          <w:highlight w:val="none"/>
        </w:rPr>
      </w:r>
      <w:r/>
    </w:p>
    <w:p>
      <w:pPr>
        <w:pStyle w:val="801"/>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01"/>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单位名称（加盖CA电子公章）：</w:t>
      </w:r>
      <w:r>
        <w:rPr>
          <w:rFonts w:hint="eastAsia" w:ascii="宋体" w:hAnsi="宋体" w:eastAsia="宋体" w:cs="宋体"/>
          <w:color w:val="000000"/>
          <w:sz w:val="24"/>
          <w:highlight w:val="none"/>
        </w:rPr>
      </w:r>
      <w:r/>
    </w:p>
    <w:p>
      <w:pPr>
        <w:pStyle w:val="812"/>
        <w:ind w:right="840"/>
        <w:spacing w:before="124"/>
        <w:rPr>
          <w:rFonts w:hint="eastAsia" w:ascii="宋体" w:hAnsi="宋体" w:eastAsia="宋体" w:cs="宋体"/>
          <w:color w:val="000000"/>
          <w:sz w:val="24"/>
          <w:highlight w:val="none"/>
        </w:rPr>
      </w:pPr>
      <w:r>
        <w:rPr>
          <w:rFonts w:hint="eastAsia" w:ascii="宋体" w:hAnsi="宋体" w:eastAsia="宋体" w:cs="宋体"/>
          <w:bCs/>
          <w:color w:val="000000"/>
          <w:sz w:val="24"/>
          <w:highlight w:val="none"/>
        </w:rPr>
        <w:t xml:space="preserve">日  期：</w:t>
      </w:r>
      <w:r>
        <w:rPr>
          <w:rFonts w:hint="eastAsia" w:ascii="宋体" w:hAnsi="宋体" w:eastAsia="宋体" w:cs="宋体"/>
          <w:color w:val="000000"/>
          <w:sz w:val="24"/>
          <w:highlight w:val="none"/>
        </w:rPr>
      </w:r>
      <w:r/>
    </w:p>
    <w:p>
      <w:pPr>
        <w:pStyle w:val="812"/>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66"/>
        <w:ind w:left="0"/>
        <w:spacing w:before="244"/>
        <w:rPr>
          <w:rFonts w:hint="eastAsia" w:ascii="宋体" w:hAnsi="宋体" w:eastAsia="宋体" w:cs="宋体"/>
          <w:color w:val="000000"/>
          <w:highlight w:val="none"/>
        </w:rPr>
      </w:pPr>
      <w:r>
        <w:rPr>
          <w:rFonts w:hint="eastAsia" w:ascii="宋体" w:hAnsi="宋体" w:eastAsia="宋体" w:cs="宋体"/>
          <w:color w:val="000000"/>
          <w:highlight w:val="none"/>
        </w:rPr>
        <w:br w:type="page" w:clear="all"/>
      </w:r>
      <w:r>
        <w:rPr>
          <w:rFonts w:hint="eastAsia" w:ascii="宋体" w:hAnsi="宋体" w:eastAsia="宋体" w:cs="宋体"/>
          <w:b/>
          <w:bCs/>
          <w:color w:val="000000"/>
          <w:highlight w:val="none"/>
        </w:rPr>
        <w:t xml:space="preserve">附件三、属于监狱企业的证明文件</w:t>
      </w:r>
      <w:r>
        <w:rPr>
          <w:rFonts w:hint="eastAsia" w:ascii="宋体" w:hAnsi="宋体" w:eastAsia="宋体" w:cs="宋体"/>
          <w:color w:val="000000"/>
          <w:highlight w:val="none"/>
        </w:rPr>
      </w:r>
      <w:r/>
    </w:p>
    <w:p>
      <w:pPr>
        <w:pStyle w:val="812"/>
        <w:rPr>
          <w:rFonts w:hint="eastAsia" w:ascii="宋体" w:hAnsi="宋体" w:eastAsia="宋体" w:cs="宋体"/>
          <w:b/>
          <w:color w:val="000000"/>
          <w:highlight w:val="none"/>
        </w:rPr>
      </w:pPr>
      <w:r>
        <w:rPr>
          <w:rFonts w:hint="eastAsia" w:ascii="宋体" w:hAnsi="宋体" w:eastAsia="宋体" w:cs="宋体"/>
          <w:b/>
          <w:color w:val="000000"/>
          <w:highlight w:val="none"/>
        </w:rPr>
      </w:r>
      <w:r/>
    </w:p>
    <w:p>
      <w:pPr>
        <w:pStyle w:val="801"/>
        <w:jc w:val="left"/>
        <w:tabs>
          <w:tab w:val="center" w:pos="4564" w:leader="none"/>
          <w:tab w:val="left" w:pos="5796" w:leader="none"/>
        </w:tabs>
        <w:rPr>
          <w:rFonts w:hint="eastAsia" w:ascii="宋体" w:hAnsi="宋体" w:eastAsia="宋体" w:cs="宋体"/>
          <w:b/>
          <w:color w:val="000000"/>
          <w:sz w:val="32"/>
          <w:szCs w:val="32"/>
          <w:highlight w:val="none"/>
        </w:rPr>
      </w:pPr>
      <w:r>
        <w:rPr>
          <w:rFonts w:hint="eastAsia" w:ascii="宋体" w:hAnsi="宋体" w:eastAsia="宋体" w:cs="宋体"/>
          <w:b/>
          <w:color w:val="000000"/>
          <w:sz w:val="24"/>
          <w:highlight w:val="none"/>
        </w:rPr>
        <w:tab/>
      </w:r>
      <w:r>
        <w:rPr>
          <w:rFonts w:hint="eastAsia" w:ascii="宋体" w:hAnsi="宋体" w:eastAsia="宋体" w:cs="宋体"/>
          <w:b/>
          <w:color w:val="000000"/>
          <w:sz w:val="32"/>
          <w:szCs w:val="32"/>
          <w:highlight w:val="none"/>
        </w:rPr>
        <w:t xml:space="preserve">监狱企业证明</w:t>
      </w:r>
      <w:r>
        <w:rPr>
          <w:rFonts w:hint="eastAsia" w:ascii="宋体" w:hAnsi="宋体" w:eastAsia="宋体" w:cs="宋体"/>
          <w:b/>
          <w:color w:val="000000"/>
          <w:sz w:val="32"/>
          <w:szCs w:val="32"/>
          <w:highlight w:val="none"/>
        </w:rPr>
        <w:tab/>
      </w:r>
      <w:r>
        <w:rPr>
          <w:rFonts w:hint="eastAsia" w:ascii="宋体" w:hAnsi="宋体" w:eastAsia="宋体" w:cs="宋体"/>
          <w:b/>
          <w:color w:val="000000"/>
          <w:sz w:val="32"/>
          <w:szCs w:val="32"/>
          <w:highlight w:val="none"/>
        </w:rPr>
      </w:r>
      <w:r/>
    </w:p>
    <w:p>
      <w:pPr>
        <w:pStyle w:val="80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（注：符合条件的监狱企业请提供本函，不符合的不提供本函）</w:t>
      </w:r>
      <w:r>
        <w:rPr>
          <w:rFonts w:hint="eastAsia" w:ascii="宋体" w:hAnsi="宋体" w:eastAsia="宋体" w:cs="宋体"/>
          <w:color w:val="000000"/>
          <w:sz w:val="24"/>
          <w:szCs w:val="24"/>
          <w:highlight w:val="none"/>
        </w:rPr>
      </w:r>
      <w:r/>
    </w:p>
    <w:p>
      <w:pPr>
        <w:pStyle w:val="81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0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省级以上监狱管理局、戒毒管理局（含新疆生产建设兵团）出具的属于监狱企业的证明文件。</w:t>
      </w:r>
      <w:r>
        <w:rPr>
          <w:rFonts w:hint="eastAsia" w:ascii="宋体" w:hAnsi="宋体" w:eastAsia="宋体" w:cs="宋体"/>
          <w:color w:val="000000"/>
          <w:sz w:val="24"/>
          <w:szCs w:val="24"/>
          <w:highlight w:val="none"/>
        </w:rPr>
      </w:r>
      <w:r/>
    </w:p>
    <w:p>
      <w:pPr>
        <w:pStyle w:val="801"/>
        <w:jc w:val="center"/>
        <w:rPr>
          <w:rFonts w:hint="eastAsia" w:ascii="宋体" w:hAnsi="宋体" w:eastAsia="宋体" w:cs="宋体"/>
          <w:color w:val="000000"/>
          <w:sz w:val="32"/>
          <w:szCs w:val="32"/>
          <w:highlight w:val="none"/>
        </w:rPr>
        <w:outlineLvl w:val="2"/>
      </w:pPr>
      <w:r>
        <w:rPr>
          <w:rFonts w:hint="eastAsia" w:ascii="宋体" w:hAnsi="宋体" w:eastAsia="宋体" w:cs="宋体"/>
          <w:color w:val="000000"/>
          <w:sz w:val="36"/>
          <w:szCs w:val="36"/>
          <w:highlight w:val="none"/>
          <w:lang w:val="zh-CN"/>
        </w:rPr>
        <w:br w:type="page" w:clear="all"/>
      </w:r>
      <w:bookmarkStart w:id="202" w:name="_Toc211090877"/>
      <w:r>
        <w:rPr>
          <w:rFonts w:hint="eastAsia" w:ascii="宋体" w:hAnsi="宋体" w:eastAsia="宋体" w:cs="宋体"/>
          <w:b/>
          <w:bCs/>
          <w:color w:val="000000"/>
          <w:sz w:val="32"/>
          <w:szCs w:val="32"/>
          <w:highlight w:val="none"/>
          <w:lang w:val="en-US" w:eastAsia="zh-CN"/>
        </w:rPr>
        <w:t xml:space="preserve">八</w:t>
      </w:r>
      <w:r>
        <w:rPr>
          <w:rFonts w:hint="eastAsia" w:ascii="宋体" w:hAnsi="宋体" w:eastAsia="宋体" w:cs="宋体"/>
          <w:b/>
          <w:bCs/>
          <w:color w:val="000000"/>
          <w:sz w:val="32"/>
          <w:szCs w:val="32"/>
          <w:highlight w:val="none"/>
        </w:rPr>
        <w:t xml:space="preserve">、投标人认为需要提供的其他文件</w:t>
      </w:r>
      <w:bookmarkEnd w:id="202"/>
      <w:r>
        <w:rPr>
          <w:rFonts w:hint="eastAsia" w:ascii="宋体" w:hAnsi="宋体" w:eastAsia="宋体" w:cs="宋体"/>
          <w:color w:val="000000"/>
          <w:sz w:val="32"/>
          <w:szCs w:val="32"/>
          <w:highlight w:val="none"/>
        </w:rPr>
      </w:r>
      <w:r/>
    </w:p>
    <w:p>
      <w:pPr>
        <w:pStyle w:val="814"/>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801"/>
        <w:jc w:val="center"/>
        <w:spacing w:before="46"/>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1、浮吊船购置证明或租赁意向书或承诺函</w:t>
      </w:r>
      <w:r>
        <w:rPr>
          <w:rFonts w:hint="eastAsia" w:ascii="宋体" w:hAnsi="宋体" w:eastAsia="宋体" w:cs="宋体"/>
          <w:b/>
          <w:color w:val="000000"/>
          <w:sz w:val="32"/>
          <w:szCs w:val="32"/>
          <w:highlight w:val="none"/>
        </w:rPr>
      </w:r>
      <w:r/>
    </w:p>
    <w:p>
      <w:pPr>
        <w:pStyle w:val="812"/>
        <w:ind w:firstLine="482"/>
        <w:jc w:val="left"/>
        <w:spacing w:before="129"/>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投标人应提供满足本项目现场吊装、转运的浮吊船。若为投标人自有设备，可在此处提供购置发票或购置合同；若为租赁设备，可提供租赁协议或意向书或承诺函，格式自拟并盖章。</w:t>
      </w:r>
      <w:r>
        <w:rPr>
          <w:rFonts w:hint="eastAsia" w:ascii="宋体" w:hAnsi="宋体" w:eastAsia="宋体" w:cs="宋体"/>
          <w:b/>
          <w:bCs/>
          <w:color w:val="000000"/>
          <w:sz w:val="24"/>
          <w:highlight w:val="none"/>
        </w:rPr>
      </w:r>
      <w:r/>
    </w:p>
    <w:p>
      <w:pPr>
        <w:pStyle w:val="801"/>
        <w:rPr>
          <w:rFonts w:hint="eastAsia" w:ascii="宋体" w:hAnsi="宋体" w:eastAsia="宋体" w:cs="宋体"/>
          <w:b/>
          <w:color w:val="000000"/>
          <w:highlight w:val="none"/>
        </w:rPr>
      </w:pPr>
      <w:r>
        <w:rPr>
          <w:rFonts w:hint="eastAsia" w:ascii="宋体" w:hAnsi="宋体" w:eastAsia="宋体" w:cs="宋体"/>
          <w:b/>
          <w:color w:val="000000"/>
          <w:highlight w:val="none"/>
        </w:rPr>
      </w:r>
      <w:r/>
    </w:p>
    <w:p>
      <w:pPr>
        <w:pStyle w:val="801"/>
        <w:rPr>
          <w:rFonts w:hint="eastAsia" w:ascii="宋体" w:hAnsi="宋体" w:eastAsia="宋体" w:cs="宋体"/>
          <w:b/>
          <w:color w:val="000000"/>
          <w:highlight w:val="none"/>
        </w:rPr>
      </w:pPr>
      <w:r>
        <w:rPr>
          <w:rFonts w:hint="eastAsia" w:ascii="宋体" w:hAnsi="宋体" w:eastAsia="宋体" w:cs="宋体"/>
          <w:b/>
          <w:color w:val="000000"/>
          <w:highlight w:val="none"/>
        </w:rPr>
      </w:r>
      <w:r/>
    </w:p>
    <w:p>
      <w:pPr>
        <w:pStyle w:val="801"/>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01"/>
        <w:jc w:val="center"/>
        <w:rPr>
          <w:rFonts w:hint="eastAsia" w:ascii="宋体" w:hAnsi="宋体" w:eastAsia="宋体" w:cs="宋体"/>
          <w:b/>
          <w:color w:val="000000"/>
          <w:sz w:val="28"/>
          <w:highlight w:val="none"/>
        </w:rPr>
      </w:pPr>
      <w:r>
        <w:rPr>
          <w:rFonts w:hint="eastAsia" w:ascii="宋体" w:hAnsi="宋体" w:eastAsia="宋体" w:cs="宋体"/>
          <w:b/>
          <w:color w:val="000000"/>
          <w:sz w:val="28"/>
          <w:highlight w:val="none"/>
        </w:rPr>
      </w:r>
      <w:r/>
    </w:p>
    <w:p>
      <w:pPr>
        <w:pStyle w:val="801"/>
        <w:jc w:val="center"/>
        <w:spacing w:before="46"/>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2、其他</w:t>
      </w:r>
      <w:r>
        <w:rPr>
          <w:rFonts w:hint="eastAsia" w:ascii="宋体" w:hAnsi="宋体" w:eastAsia="宋体" w:cs="宋体"/>
          <w:b/>
          <w:color w:val="000000"/>
          <w:sz w:val="32"/>
          <w:szCs w:val="32"/>
          <w:highlight w:val="none"/>
        </w:rPr>
      </w:r>
      <w:r/>
    </w:p>
    <w:p>
      <w:pPr>
        <w:pStyle w:val="812"/>
        <w:ind w:firstLine="482"/>
        <w:jc w:val="left"/>
        <w:spacing w:before="129"/>
        <w:rPr>
          <w:rFonts w:hint="eastAsia" w:ascii="宋体" w:hAnsi="宋体" w:eastAsia="宋体" w:cs="宋体"/>
          <w:b/>
          <w:bCs/>
          <w:sz w:val="24"/>
          <w:highlight w:val="none"/>
        </w:rPr>
      </w:pPr>
      <w:r>
        <w:rPr>
          <w:rFonts w:hint="eastAsia" w:ascii="宋体" w:hAnsi="宋体" w:eastAsia="宋体" w:cs="宋体"/>
          <w:b/>
          <w:bCs/>
          <w:color w:val="000000"/>
          <w:sz w:val="24"/>
          <w:highlight w:val="none"/>
        </w:rPr>
        <w:t xml:space="preserve">投标人应</w:t>
      </w:r>
      <w:r>
        <w:rPr>
          <w:rFonts w:hint="eastAsia" w:ascii="宋体" w:hAnsi="宋体" w:eastAsia="宋体" w:cs="宋体"/>
          <w:b/>
          <w:bCs/>
          <w:color w:val="000000"/>
          <w:sz w:val="24"/>
          <w:highlight w:val="none"/>
          <w:lang w:val="en-US" w:eastAsia="zh-CN"/>
        </w:rPr>
        <w:t xml:space="preserve">按照招标文件要求必须提供的相关</w:t>
      </w:r>
      <w:r>
        <w:rPr>
          <w:rFonts w:hint="eastAsia" w:ascii="宋体" w:hAnsi="宋体" w:eastAsia="宋体" w:cs="宋体"/>
          <w:b/>
          <w:bCs/>
          <w:color w:val="000000"/>
          <w:sz w:val="24"/>
          <w:highlight w:val="none"/>
        </w:rPr>
        <w:t xml:space="preserve">承诺函，格式自拟并盖章</w:t>
      </w:r>
      <w:r>
        <w:rPr>
          <w:rFonts w:hint="eastAsia" w:ascii="宋体" w:hAnsi="宋体" w:eastAsia="宋体" w:cs="宋体"/>
          <w:b/>
          <w:bCs/>
          <w:sz w:val="24"/>
          <w:highlight w:val="none"/>
        </w:rPr>
        <w:t xml:space="preserve">。</w:t>
      </w:r>
      <w:r>
        <w:rPr>
          <w:rFonts w:hint="eastAsia" w:ascii="宋体" w:hAnsi="宋体" w:eastAsia="宋体" w:cs="宋体"/>
          <w:b/>
          <w:bCs/>
          <w:sz w:val="24"/>
          <w:highlight w:val="none"/>
        </w:rPr>
      </w:r>
      <w:r/>
    </w:p>
    <w:sectPr>
      <w:footerReference w:type="default" r:id="rId15"/>
      <w:footnotePr/>
      <w:endnotePr/>
      <w:type w:val="nextPage"/>
      <w:pgSz w:w="11906" w:h="16838" w:orient="portrait"/>
      <w:pgMar w:top="1417" w:right="1417" w:bottom="1417" w:left="1417" w:header="567" w:footer="567"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微软雅黑">
    <w:panose1 w:val="020B0503020204020204"/>
  </w:font>
  <w:font w:name="Calibri">
    <w:panose1 w:val="020F0502020204030204"/>
  </w:font>
  <w:font w:name="EU-F1">
    <w:panose1 w:val="020B0503020202020204"/>
  </w:font>
  <w:font w:name="Courier New">
    <w:panose1 w:val="02070309020205020404"/>
  </w:font>
  <w:font w:name="Cambria">
    <w:panose1 w:val="02040503050406030204"/>
  </w:font>
  <w:font w:name="黑体">
    <w:panose1 w:val="02010609060101010101"/>
  </w:font>
  <w:font w:name="Arial">
    <w:panose1 w:val="020B0604020202020204"/>
  </w:font>
  <w:font w:name="宋体">
    <w:panose1 w:val="02010600030101010101"/>
  </w:font>
  <w:font w:name="??">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0"/>
      <w:jc w:val="center"/>
      <w:tabs>
        <w:tab w:val="center" w:pos="4153" w:leader="none"/>
        <w:tab w:val="right" w:pos="8306" w:leader="none"/>
      </w:tabs>
    </w:pPr>
    <w:r/>
    <w:r/>
  </w:p>
  <w:p>
    <w:pPr>
      <w:pStyle w:val="820"/>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0"/>
      <w:jc w:val="center"/>
      <w:tabs>
        <w:tab w:val="center" w:pos="4153" w:leader="none"/>
        <w:tab w:val="right" w:pos="8306" w:leader="none"/>
      </w:tabs>
    </w:pPr>
    <w:r/>
    <w:r/>
  </w:p>
  <w:p>
    <w:pPr>
      <w:pStyle w:val="82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0"/>
      <w:jc w:val="center"/>
      <w:tabs>
        <w:tab w:val="center" w:pos="4153" w:leader="none"/>
        <w:tab w:val="right" w:pos="8306" w:leader="none"/>
      </w:tabs>
      <w:rPr>
        <w:rFonts w:hint="eastAsi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20"/>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25</w:t>
                          </w:r>
                          <w:r>
                            <w:fldChar w:fldCharType="end"/>
                          </w:r>
                          <w:r/>
                        </w:p>
                        <w:p>
                          <w:pPr>
                            <w:pStyle w:val="801"/>
                          </w:pPr>
                          <w:r/>
                          <w:r/>
                        </w:p>
                      </w:txbxContent>
                    </wps:txbx>
                    <wps:bodyPr wrap="none" lIns="0" tIns="0" rIns="0" bIns="0" upright="1">
                      <a:spAutoFit/>
                    </wps:bodyPr>
                  </wps:wsp>
                </a:graphicData>
              </a:graphic>
            </wp:anchor>
          </w:drawing>
        </mc:Choice>
        <mc:Fallback>
          <w:pict>
            <v:shape id="shape 0" o:spid="_x0000_s0"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20"/>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25</w:t>
                    </w:r>
                    <w:r>
                      <w:fldChar w:fldCharType="end"/>
                    </w:r>
                    <w:r/>
                  </w:p>
                  <w:p>
                    <w:pPr>
                      <w:pStyle w:val="801"/>
                    </w:pPr>
                    <w:r/>
                    <w:r/>
                  </w:p>
                </w:txbxContent>
              </v:textbox>
            </v:shape>
          </w:pict>
        </mc:Fallback>
      </mc:AlternateContent>
    </w:r>
    <w:r>
      <w:rPr>
        <w:rFonts w:hint="eastAsia"/>
      </w:rPr>
    </w:r>
    <w:r/>
  </w:p>
  <w:p>
    <w:pPr>
      <w:pStyle w:val="820"/>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14935" cy="131445"/>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a:noFill/>
                      </a:ln>
                    </wps:spPr>
                    <wps:txbx>
                      <w:txbxContent>
                        <w:p>
                          <w:pPr>
                            <w:pStyle w:val="820"/>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26</w:t>
                          </w:r>
                          <w:r>
                            <w:rPr>
                              <w:rFonts w:hint="eastAsia"/>
                            </w:rPr>
                            <w:fldChar w:fldCharType="end"/>
                          </w:r>
                          <w:r/>
                        </w:p>
                        <w:p>
                          <w:pPr>
                            <w:pStyle w:val="801"/>
                          </w:pPr>
                          <w:r/>
                          <w:r/>
                        </w:p>
                      </w:txbxContent>
                    </wps:txbx>
                    <wps:bodyPr wrap="none" lIns="0" tIns="0" rIns="0" bIns="0" upright="1">
                      <a:spAutoFit/>
                    </wps:bodyPr>
                  </wps:wsp>
                </a:graphicData>
              </a:graphic>
            </wp:anchor>
          </w:drawing>
        </mc:Choice>
        <mc:Fallback>
          <w:pict>
            <v:shape id="shape 1" o:spid="_x0000_s1" o:spt="202" type="#_x0000_t202" style="position:absolute;z-index:524288;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isibility:visible;" filled="f" stroked="f">
              <v:textbox inset="0,0,0,0">
                <w:txbxContent>
                  <w:p>
                    <w:pPr>
                      <w:pStyle w:val="820"/>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26</w:t>
                    </w:r>
                    <w:r>
                      <w:rPr>
                        <w:rFonts w:hint="eastAsia"/>
                      </w:rPr>
                      <w:fldChar w:fldCharType="end"/>
                    </w:r>
                    <w:r/>
                  </w:p>
                  <w:p>
                    <w:pPr>
                      <w:pStyle w:val="801"/>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0"/>
      <w:jc w:val="center"/>
      <w:tabs>
        <w:tab w:val="center" w:pos="4153" w:leader="none"/>
        <w:tab w:val="right" w:pos="8306" w:leader="none"/>
      </w:tabs>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20"/>
                            <w:tabs>
                              <w:tab w:val="clear" w:pos="4153" w:leader="none"/>
                              <w:tab w:val="clear" w:pos="8306" w:leader="none"/>
                            </w:tabs>
                          </w:pPr>
                          <w:r>
                            <w:fldChar w:fldCharType="begin"/>
                          </w:r>
                          <w:r>
                            <w:instrText xml:space="preserve"> PAGE  \* MERGEFORMAT </w:instrText>
                          </w:r>
                          <w:r>
                            <w:fldChar w:fldCharType="separate"/>
                          </w:r>
                          <w:r>
                            <w:t xml:space="preserve">31</w:t>
                          </w:r>
                          <w:r>
                            <w:fldChar w:fldCharType="end"/>
                          </w:r>
                          <w:r/>
                        </w:p>
                        <w:p>
                          <w:pPr>
                            <w:pStyle w:val="801"/>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20"/>
                      <w:tabs>
                        <w:tab w:val="clear" w:pos="4153" w:leader="none"/>
                        <w:tab w:val="clear" w:pos="8306" w:leader="none"/>
                      </w:tabs>
                    </w:pPr>
                    <w:r>
                      <w:fldChar w:fldCharType="begin"/>
                    </w:r>
                    <w:r>
                      <w:instrText xml:space="preserve"> PAGE  \* MERGEFORMAT </w:instrText>
                    </w:r>
                    <w:r>
                      <w:fldChar w:fldCharType="separate"/>
                    </w:r>
                    <w:r>
                      <w:t xml:space="preserve">31</w:t>
                    </w:r>
                    <w:r>
                      <w:fldChar w:fldCharType="end"/>
                    </w:r>
                    <w:r/>
                  </w:p>
                  <w:p>
                    <w:pPr>
                      <w:pStyle w:val="801"/>
                    </w:pPr>
                    <w:r/>
                    <w:r/>
                  </w:p>
                </w:txbxContent>
              </v:textbox>
            </v:shape>
          </w:pict>
        </mc:Fallback>
      </mc:AlternateContent>
    </w:r>
    <w:r>
      <w:rPr>
        <w:rFonts w:hint="eastAsia"/>
      </w:r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20"/>
                            <w:tabs>
                              <w:tab w:val="clear" w:pos="4153" w:leader="none"/>
                              <w:tab w:val="clear" w:pos="8306" w:leader="none"/>
                            </w:tabs>
                          </w:pPr>
                          <w:r>
                            <w:fldChar w:fldCharType="begin"/>
                          </w:r>
                          <w:r>
                            <w:instrText xml:space="preserve"> PAGE  \* MERGEFORMAT </w:instrText>
                          </w:r>
                          <w:r>
                            <w:fldChar w:fldCharType="separate"/>
                          </w:r>
                          <w:r>
                            <w:t xml:space="preserve">76</w:t>
                          </w:r>
                          <w:r>
                            <w:fldChar w:fldCharType="end"/>
                          </w:r>
                          <w:r/>
                        </w:p>
                        <w:p>
                          <w:pPr>
                            <w:pStyle w:val="801"/>
                          </w:pPr>
                          <w:r/>
                          <w:r/>
                        </w:p>
                      </w:txbxContent>
                    </wps:txbx>
                    <wps:bodyPr wrap="none" lIns="0" tIns="0" rIns="0" bIns="0" upright="1">
                      <a:spAutoFit/>
                    </wps:bodyPr>
                  </wps:wsp>
                </a:graphicData>
              </a:graphic>
            </wp:anchor>
          </w:drawing>
        </mc:Choice>
        <mc:Fallback>
          <w:pict>
            <v:shape id="shape 3" o:spid="_x0000_s3"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20"/>
                      <w:tabs>
                        <w:tab w:val="clear" w:pos="4153" w:leader="none"/>
                        <w:tab w:val="clear" w:pos="8306" w:leader="none"/>
                      </w:tabs>
                    </w:pPr>
                    <w:r>
                      <w:fldChar w:fldCharType="begin"/>
                    </w:r>
                    <w:r>
                      <w:instrText xml:space="preserve"> PAGE  \* MERGEFORMAT </w:instrText>
                    </w:r>
                    <w:r>
                      <w:fldChar w:fldCharType="separate"/>
                    </w:r>
                    <w:r>
                      <w:t xml:space="preserve">76</w:t>
                    </w:r>
                    <w:r>
                      <w:fldChar w:fldCharType="end"/>
                    </w:r>
                    <w:r/>
                  </w:p>
                  <w:p>
                    <w:pPr>
                      <w:pStyle w:val="801"/>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2"/>
      <w:tabs>
        <w:tab w:val="center" w:pos="4153" w:leader="none"/>
        <w:tab w:val="right" w:pos="8306" w:leader="none"/>
      </w:tabs>
      <w:rPr>
        <w:rFonts w:hint="eastAsia"/>
      </w:rPr>
      <w:pBdr>
        <w:bottom w:val="none" w:color="000000" w:sz="0" w:space="0"/>
      </w:pBdr>
    </w:pPr>
    <w:r>
      <w:rPr>
        <w:rFonts w:hint="eastAsi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801"/>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861"/>
      <w:isLgl w:val="false"/>
      <w:suff w:val="tab"/>
      <w:lvlText w:val=""/>
      <w:lvlJc w:val="left"/>
      <w:pPr>
        <w:pStyle w:val="801"/>
        <w:ind w:left="1200" w:hanging="360"/>
        <w:tabs>
          <w:tab w:val="num" w:pos="120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5"/>
      <w:numFmt w:val="chineseCounting"/>
      <w:isLgl w:val="false"/>
      <w:suff w:val="space"/>
      <w:lvlText w:val="第%1章"/>
      <w:lvlJc w:val="left"/>
      <w:pPr>
        <w:pStyle w:val="801"/>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pStyle w:val="801"/>
        <w:ind w:left="360" w:hanging="360"/>
      </w:pPr>
      <w:rPr>
        <w:rFonts w:cs="Times New Roman"/>
      </w:rPr>
    </w:lvl>
    <w:lvl w:ilvl="1">
      <w:start w:val="1"/>
      <w:numFmt w:val="lowerLetter"/>
      <w:isLgl w:val="false"/>
      <w:suff w:val="tab"/>
      <w:lvlText w:val="%2)"/>
      <w:lvlJc w:val="left"/>
      <w:pPr>
        <w:pStyle w:val="801"/>
        <w:ind w:left="840" w:hanging="420"/>
      </w:pPr>
      <w:rPr>
        <w:rFonts w:cs="Times New Roman"/>
      </w:rPr>
    </w:lvl>
    <w:lvl w:ilvl="2">
      <w:start w:val="1"/>
      <w:numFmt w:val="lowerRoman"/>
      <w:pStyle w:val="835"/>
      <w:isLgl w:val="false"/>
      <w:suff w:val="tab"/>
      <w:lvlText w:val="%3."/>
      <w:lvlJc w:val="right"/>
      <w:pPr>
        <w:pStyle w:val="801"/>
        <w:ind w:left="1260" w:hanging="420"/>
      </w:pPr>
      <w:rPr>
        <w:rFonts w:cs="Times New Roman"/>
      </w:rPr>
    </w:lvl>
    <w:lvl w:ilvl="3">
      <w:start w:val="1"/>
      <w:numFmt w:val="decimal"/>
      <w:isLgl w:val="false"/>
      <w:suff w:val="tab"/>
      <w:lvlText w:val="%4."/>
      <w:lvlJc w:val="left"/>
      <w:pPr>
        <w:pStyle w:val="801"/>
        <w:ind w:left="1680" w:hanging="420"/>
      </w:pPr>
      <w:rPr>
        <w:rFonts w:cs="Times New Roman"/>
      </w:rPr>
    </w:lvl>
    <w:lvl w:ilvl="4">
      <w:start w:val="1"/>
      <w:numFmt w:val="lowerLetter"/>
      <w:isLgl w:val="false"/>
      <w:suff w:val="tab"/>
      <w:lvlText w:val="%5)"/>
      <w:lvlJc w:val="left"/>
      <w:pPr>
        <w:pStyle w:val="801"/>
        <w:ind w:left="2100" w:hanging="420"/>
      </w:pPr>
      <w:rPr>
        <w:rFonts w:cs="Times New Roman"/>
      </w:rPr>
    </w:lvl>
    <w:lvl w:ilvl="5">
      <w:start w:val="1"/>
      <w:numFmt w:val="lowerRoman"/>
      <w:isLgl w:val="false"/>
      <w:suff w:val="tab"/>
      <w:lvlText w:val="%6."/>
      <w:lvlJc w:val="right"/>
      <w:pPr>
        <w:pStyle w:val="801"/>
        <w:ind w:left="2520" w:hanging="420"/>
      </w:pPr>
      <w:rPr>
        <w:rFonts w:cs="Times New Roman"/>
      </w:rPr>
    </w:lvl>
    <w:lvl w:ilvl="6">
      <w:start w:val="1"/>
      <w:numFmt w:val="decimal"/>
      <w:isLgl w:val="false"/>
      <w:suff w:val="tab"/>
      <w:lvlText w:val="%7."/>
      <w:lvlJc w:val="left"/>
      <w:pPr>
        <w:pStyle w:val="801"/>
        <w:ind w:left="2940" w:hanging="420"/>
      </w:pPr>
      <w:rPr>
        <w:rFonts w:cs="Times New Roman"/>
      </w:rPr>
    </w:lvl>
    <w:lvl w:ilvl="7">
      <w:start w:val="1"/>
      <w:numFmt w:val="lowerLetter"/>
      <w:isLgl w:val="false"/>
      <w:suff w:val="tab"/>
      <w:lvlText w:val="%8)"/>
      <w:lvlJc w:val="left"/>
      <w:pPr>
        <w:pStyle w:val="801"/>
        <w:ind w:left="3360" w:hanging="420"/>
      </w:pPr>
      <w:rPr>
        <w:rFonts w:cs="Times New Roman"/>
      </w:rPr>
    </w:lvl>
    <w:lvl w:ilvl="8">
      <w:start w:val="1"/>
      <w:numFmt w:val="lowerRoman"/>
      <w:isLgl w:val="false"/>
      <w:suff w:val="tab"/>
      <w:lvlText w:val="%9."/>
      <w:lvlJc w:val="right"/>
      <w:pPr>
        <w:pStyle w:val="801"/>
        <w:ind w:left="3780" w:hanging="420"/>
      </w:pPr>
      <w:rPr>
        <w:rFonts w:cs="Times New Roman"/>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801"/>
    <w:next w:val="801"/>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801"/>
    <w:next w:val="801"/>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801"/>
    <w:next w:val="801"/>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character" w:styleId="19">
    <w:name w:val="Heading 4 Char"/>
    <w:basedOn w:val="10"/>
    <w:link w:val="870"/>
    <w:uiPriority w:val="9"/>
    <w:rPr>
      <w:rFonts w:ascii="Arial" w:hAnsi="Arial" w:eastAsia="Arial" w:cs="Arial"/>
      <w:b/>
      <w:bCs/>
      <w:sz w:val="26"/>
      <w:szCs w:val="26"/>
    </w:rPr>
  </w:style>
  <w:style w:type="paragraph" w:styleId="20">
    <w:name w:val="Heading 5"/>
    <w:basedOn w:val="801"/>
    <w:next w:val="801"/>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801"/>
    <w:next w:val="801"/>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801"/>
    <w:next w:val="801"/>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801"/>
    <w:next w:val="801"/>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801"/>
    <w:next w:val="801"/>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801"/>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801"/>
    <w:next w:val="801"/>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801"/>
    <w:next w:val="801"/>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801"/>
    <w:next w:val="801"/>
    <w:link w:val="38"/>
    <w:uiPriority w:val="29"/>
    <w:qFormat/>
    <w:pPr>
      <w:ind w:left="720" w:right="720"/>
    </w:pPr>
    <w:rPr>
      <w:i/>
    </w:rPr>
  </w:style>
  <w:style w:type="character" w:styleId="38">
    <w:name w:val="Quote Char"/>
    <w:link w:val="37"/>
    <w:uiPriority w:val="29"/>
    <w:rPr>
      <w:i/>
    </w:rPr>
  </w:style>
  <w:style w:type="paragraph" w:styleId="39">
    <w:name w:val="Intense Quote"/>
    <w:basedOn w:val="801"/>
    <w:next w:val="801"/>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801"/>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801"/>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801"/>
    <w:next w:val="801"/>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801"/>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801"/>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801"/>
    <w:next w:val="801"/>
    <w:uiPriority w:val="39"/>
    <w:unhideWhenUsed/>
    <w:pPr>
      <w:ind w:left="0" w:right="0" w:firstLine="0"/>
      <w:spacing w:after="57"/>
    </w:pPr>
  </w:style>
  <w:style w:type="paragraph" w:styleId="181">
    <w:name w:val="toc 2"/>
    <w:basedOn w:val="801"/>
    <w:next w:val="801"/>
    <w:uiPriority w:val="39"/>
    <w:unhideWhenUsed/>
    <w:pPr>
      <w:ind w:left="283" w:right="0" w:firstLine="0"/>
      <w:spacing w:after="57"/>
    </w:pPr>
  </w:style>
  <w:style w:type="paragraph" w:styleId="182">
    <w:name w:val="toc 3"/>
    <w:basedOn w:val="801"/>
    <w:next w:val="801"/>
    <w:uiPriority w:val="39"/>
    <w:unhideWhenUsed/>
    <w:pPr>
      <w:ind w:left="567" w:right="0" w:firstLine="0"/>
      <w:spacing w:after="57"/>
    </w:pPr>
  </w:style>
  <w:style w:type="paragraph" w:styleId="183">
    <w:name w:val="toc 4"/>
    <w:basedOn w:val="801"/>
    <w:next w:val="801"/>
    <w:uiPriority w:val="39"/>
    <w:unhideWhenUsed/>
    <w:pPr>
      <w:ind w:left="850" w:right="0" w:firstLine="0"/>
      <w:spacing w:after="57"/>
    </w:pPr>
  </w:style>
  <w:style w:type="paragraph" w:styleId="184">
    <w:name w:val="toc 5"/>
    <w:basedOn w:val="801"/>
    <w:next w:val="801"/>
    <w:uiPriority w:val="39"/>
    <w:unhideWhenUsed/>
    <w:pPr>
      <w:ind w:left="1134" w:right="0" w:firstLine="0"/>
      <w:spacing w:after="57"/>
    </w:pPr>
  </w:style>
  <w:style w:type="paragraph" w:styleId="185">
    <w:name w:val="toc 6"/>
    <w:basedOn w:val="801"/>
    <w:next w:val="801"/>
    <w:uiPriority w:val="39"/>
    <w:unhideWhenUsed/>
    <w:pPr>
      <w:ind w:left="1417" w:right="0" w:firstLine="0"/>
      <w:spacing w:after="57"/>
    </w:pPr>
  </w:style>
  <w:style w:type="paragraph" w:styleId="186">
    <w:name w:val="toc 7"/>
    <w:basedOn w:val="801"/>
    <w:next w:val="801"/>
    <w:uiPriority w:val="39"/>
    <w:unhideWhenUsed/>
    <w:pPr>
      <w:ind w:left="1701" w:right="0" w:firstLine="0"/>
      <w:spacing w:after="57"/>
    </w:pPr>
  </w:style>
  <w:style w:type="paragraph" w:styleId="187">
    <w:name w:val="toc 8"/>
    <w:basedOn w:val="801"/>
    <w:next w:val="801"/>
    <w:uiPriority w:val="39"/>
    <w:unhideWhenUsed/>
    <w:pPr>
      <w:ind w:left="1984" w:right="0" w:firstLine="0"/>
      <w:spacing w:after="57"/>
    </w:pPr>
  </w:style>
  <w:style w:type="paragraph" w:styleId="188">
    <w:name w:val="toc 9"/>
    <w:basedOn w:val="801"/>
    <w:next w:val="801"/>
    <w:uiPriority w:val="39"/>
    <w:unhideWhenUsed/>
    <w:pPr>
      <w:ind w:left="2268" w:right="0" w:firstLine="0"/>
      <w:spacing w:after="57"/>
    </w:pPr>
  </w:style>
  <w:style w:type="paragraph" w:styleId="189">
    <w:name w:val="TOC Heading"/>
    <w:uiPriority w:val="39"/>
    <w:unhideWhenUsed/>
  </w:style>
  <w:style w:type="paragraph" w:styleId="190">
    <w:name w:val="table of figures"/>
    <w:basedOn w:val="801"/>
    <w:next w:val="801"/>
    <w:uiPriority w:val="99"/>
    <w:unhideWhenUsed/>
    <w:pPr>
      <w:spacing w:after="0" w:afterAutospacing="0"/>
    </w:pPr>
  </w:style>
  <w:style w:type="paragraph" w:styleId="801" w:default="1">
    <w:name w:val="Normal"/>
    <w:next w:val="801"/>
    <w:link w:val="801"/>
    <w:qFormat/>
    <w:pPr>
      <w:jc w:val="both"/>
      <w:spacing w:line="360" w:lineRule="auto"/>
      <w:widowControl w:val="off"/>
    </w:pPr>
    <w:rPr>
      <w:sz w:val="21"/>
      <w:szCs w:val="24"/>
      <w:lang w:val="en-US" w:eastAsia="zh-CN" w:bidi="ar-SA"/>
    </w:rPr>
  </w:style>
  <w:style w:type="paragraph" w:styleId="802">
    <w:name w:val="标题 1"/>
    <w:basedOn w:val="801"/>
    <w:next w:val="801"/>
    <w:link w:val="801"/>
    <w:qFormat/>
    <w:pPr>
      <w:keepLines/>
      <w:keepNext/>
      <w:spacing w:before="340" w:after="330" w:line="576" w:lineRule="auto"/>
      <w:outlineLvl w:val="0"/>
    </w:pPr>
    <w:rPr>
      <w:b/>
      <w:bCs/>
      <w:sz w:val="44"/>
      <w:szCs w:val="44"/>
    </w:rPr>
  </w:style>
  <w:style w:type="paragraph" w:styleId="803">
    <w:name w:val="标题 2"/>
    <w:basedOn w:val="801"/>
    <w:next w:val="801"/>
    <w:link w:val="801"/>
    <w:qFormat/>
    <w:pPr>
      <w:keepLines/>
      <w:keepNext/>
      <w:spacing w:before="260" w:after="260" w:line="415" w:lineRule="auto"/>
      <w:outlineLvl w:val="1"/>
    </w:pPr>
    <w:rPr>
      <w:rFonts w:ascii="Arial" w:hAnsi="Arial" w:eastAsia="黑体"/>
      <w:b/>
      <w:bCs/>
      <w:sz w:val="32"/>
      <w:szCs w:val="32"/>
    </w:rPr>
  </w:style>
  <w:style w:type="paragraph" w:styleId="804">
    <w:name w:val="标题 3"/>
    <w:basedOn w:val="801"/>
    <w:next w:val="801"/>
    <w:link w:val="801"/>
    <w:qFormat/>
    <w:pPr>
      <w:keepLines/>
      <w:keepNext/>
      <w:spacing w:before="260" w:after="260" w:line="415" w:lineRule="auto"/>
      <w:outlineLvl w:val="2"/>
    </w:pPr>
    <w:rPr>
      <w:b/>
      <w:bCs/>
      <w:sz w:val="32"/>
      <w:szCs w:val="32"/>
    </w:rPr>
  </w:style>
  <w:style w:type="paragraph" w:styleId="805">
    <w:name w:val="标题 4"/>
    <w:basedOn w:val="801"/>
    <w:next w:val="801"/>
    <w:link w:val="801"/>
    <w:qFormat/>
    <w:pPr>
      <w:keepLines/>
      <w:keepNext/>
      <w:spacing w:before="280" w:after="290" w:line="374" w:lineRule="auto"/>
      <w:outlineLvl w:val="3"/>
    </w:pPr>
    <w:rPr>
      <w:rFonts w:ascii="Cambria" w:hAnsi="Cambria"/>
      <w:b/>
      <w:bCs/>
      <w:sz w:val="28"/>
      <w:szCs w:val="28"/>
    </w:rPr>
  </w:style>
  <w:style w:type="character" w:styleId="806">
    <w:name w:val="默认段落字体"/>
    <w:next w:val="806"/>
    <w:link w:val="801"/>
    <w:semiHidden/>
  </w:style>
  <w:style w:type="table" w:styleId="807">
    <w:name w:val="普通表格"/>
    <w:next w:val="807"/>
    <w:link w:val="801"/>
    <w:semiHidden/>
    <w:tblPr/>
  </w:style>
  <w:style w:type="paragraph" w:styleId="808">
    <w:name w:val="索引 8"/>
    <w:basedOn w:val="801"/>
    <w:next w:val="801"/>
    <w:link w:val="801"/>
    <w:semiHidden/>
    <w:qFormat/>
    <w:pPr>
      <w:ind w:left="1680" w:hanging="210"/>
      <w:jc w:val="left"/>
    </w:pPr>
    <w:rPr>
      <w:sz w:val="20"/>
      <w:szCs w:val="20"/>
    </w:rPr>
  </w:style>
  <w:style w:type="paragraph" w:styleId="809">
    <w:name w:val="正文缩进"/>
    <w:basedOn w:val="801"/>
    <w:next w:val="809"/>
    <w:link w:val="801"/>
    <w:qFormat/>
    <w:pPr>
      <w:ind w:firstLine="420"/>
    </w:pPr>
  </w:style>
  <w:style w:type="paragraph" w:styleId="810">
    <w:name w:val="批注文字"/>
    <w:basedOn w:val="801"/>
    <w:next w:val="810"/>
    <w:link w:val="811"/>
    <w:pPr>
      <w:jc w:val="left"/>
    </w:pPr>
  </w:style>
  <w:style w:type="character" w:styleId="811">
    <w:name w:val="批注文字 Char"/>
    <w:next w:val="811"/>
    <w:link w:val="810"/>
    <w:rPr>
      <w:sz w:val="21"/>
      <w:szCs w:val="24"/>
    </w:rPr>
  </w:style>
  <w:style w:type="paragraph" w:styleId="812">
    <w:name w:val="正文文本"/>
    <w:basedOn w:val="801"/>
    <w:next w:val="813"/>
    <w:link w:val="801"/>
    <w:unhideWhenUsed/>
    <w:qFormat/>
    <w:pPr>
      <w:spacing w:after="120"/>
    </w:pPr>
    <w:rPr>
      <w:sz w:val="20"/>
    </w:rPr>
  </w:style>
  <w:style w:type="paragraph" w:styleId="813">
    <w:name w:val="列表"/>
    <w:basedOn w:val="801"/>
    <w:next w:val="813"/>
    <w:link w:val="801"/>
    <w:qFormat/>
    <w:pPr>
      <w:ind w:left="200" w:hanging="200"/>
    </w:pPr>
    <w:rPr>
      <w:szCs w:val="20"/>
    </w:rPr>
  </w:style>
  <w:style w:type="paragraph" w:styleId="814">
    <w:name w:val="正文文本缩进"/>
    <w:basedOn w:val="801"/>
    <w:next w:val="814"/>
    <w:link w:val="801"/>
    <w:unhideWhenUsed/>
    <w:qFormat/>
    <w:pPr>
      <w:ind w:left="420"/>
      <w:spacing w:after="120"/>
    </w:pPr>
    <w:rPr>
      <w:sz w:val="24"/>
    </w:rPr>
  </w:style>
  <w:style w:type="paragraph" w:styleId="815">
    <w:name w:val="目录 3"/>
    <w:basedOn w:val="801"/>
    <w:next w:val="801"/>
    <w:link w:val="801"/>
    <w:uiPriority w:val="39"/>
    <w:unhideWhenUsed/>
    <w:qFormat/>
    <w:pPr>
      <w:ind w:left="840"/>
    </w:pPr>
  </w:style>
  <w:style w:type="paragraph" w:styleId="816">
    <w:name w:val="纯文本"/>
    <w:basedOn w:val="801"/>
    <w:next w:val="816"/>
    <w:link w:val="817"/>
    <w:unhideWhenUsed/>
    <w:qFormat/>
    <w:pPr>
      <w:spacing w:line="360" w:lineRule="auto"/>
    </w:pPr>
    <w:rPr>
      <w:rFonts w:ascii="宋体" w:hAnsi="Courier New"/>
      <w:sz w:val="20"/>
      <w:szCs w:val="21"/>
    </w:rPr>
  </w:style>
  <w:style w:type="character" w:styleId="817">
    <w:name w:val="纯文本 Char"/>
    <w:next w:val="817"/>
    <w:link w:val="816"/>
    <w:rPr>
      <w:rFonts w:ascii="宋体" w:hAnsi="Courier New"/>
      <w:szCs w:val="21"/>
    </w:rPr>
  </w:style>
  <w:style w:type="paragraph" w:styleId="818">
    <w:name w:val="正文文本缩进 2"/>
    <w:basedOn w:val="801"/>
    <w:next w:val="818"/>
    <w:link w:val="801"/>
    <w:qFormat/>
    <w:pPr>
      <w:ind w:firstLine="600"/>
      <w:spacing w:line="324" w:lineRule="auto"/>
    </w:pPr>
    <w:rPr>
      <w:rFonts w:ascii="Courier New" w:hAnsi="Courier New"/>
      <w:szCs w:val="20"/>
    </w:rPr>
  </w:style>
  <w:style w:type="paragraph" w:styleId="819">
    <w:name w:val="批注框文本"/>
    <w:basedOn w:val="801"/>
    <w:next w:val="819"/>
    <w:link w:val="801"/>
    <w:unhideWhenUsed/>
    <w:qFormat/>
    <w:rPr>
      <w:sz w:val="18"/>
      <w:szCs w:val="18"/>
    </w:rPr>
  </w:style>
  <w:style w:type="paragraph" w:styleId="820">
    <w:name w:val="页脚"/>
    <w:basedOn w:val="801"/>
    <w:next w:val="820"/>
    <w:link w:val="821"/>
    <w:uiPriority w:val="99"/>
    <w:unhideWhenUsed/>
    <w:qFormat/>
    <w:pPr>
      <w:jc w:val="left"/>
      <w:tabs>
        <w:tab w:val="center" w:pos="4153" w:leader="none"/>
        <w:tab w:val="right" w:pos="8306" w:leader="none"/>
      </w:tabs>
    </w:pPr>
    <w:rPr>
      <w:sz w:val="18"/>
      <w:szCs w:val="18"/>
    </w:rPr>
  </w:style>
  <w:style w:type="character" w:styleId="821">
    <w:name w:val="页脚 Char"/>
    <w:next w:val="821"/>
    <w:link w:val="820"/>
    <w:uiPriority w:val="99"/>
    <w:rPr>
      <w:sz w:val="18"/>
      <w:szCs w:val="18"/>
    </w:rPr>
  </w:style>
  <w:style w:type="paragraph" w:styleId="822">
    <w:name w:val="页眉"/>
    <w:basedOn w:val="801"/>
    <w:next w:val="822"/>
    <w:link w:val="801"/>
    <w:pPr>
      <w:jc w:val="both"/>
      <w:spacing w:line="240" w:lineRule="auto"/>
      <w:tabs>
        <w:tab w:val="center" w:pos="4153" w:leader="none"/>
        <w:tab w:val="right" w:pos="8306" w:leader="none"/>
      </w:tabs>
      <w:pBdr>
        <w:top w:val="none" w:color="000000" w:sz="0" w:space="1"/>
        <w:left w:val="none" w:color="000000" w:sz="0" w:space="4"/>
        <w:bottom w:val="none" w:color="000000" w:sz="0" w:space="1"/>
        <w:right w:val="none" w:color="000000" w:sz="0" w:space="4"/>
      </w:pBdr>
      <w:outlineLvl w:val="9"/>
    </w:pPr>
    <w:rPr>
      <w:sz w:val="18"/>
    </w:rPr>
  </w:style>
  <w:style w:type="paragraph" w:styleId="823">
    <w:name w:val="目录 1"/>
    <w:basedOn w:val="801"/>
    <w:next w:val="801"/>
    <w:link w:val="801"/>
    <w:uiPriority w:val="39"/>
    <w:unhideWhenUsed/>
    <w:qFormat/>
    <w:pPr>
      <w:spacing w:line="360" w:lineRule="auto"/>
      <w:tabs>
        <w:tab w:val="right" w:pos="9118" w:leader="dot"/>
      </w:tabs>
    </w:pPr>
  </w:style>
  <w:style w:type="paragraph" w:styleId="824">
    <w:name w:val="正文文本缩进 3"/>
    <w:basedOn w:val="801"/>
    <w:next w:val="824"/>
    <w:link w:val="801"/>
    <w:unhideWhenUsed/>
    <w:qFormat/>
    <w:pPr>
      <w:ind w:left="420"/>
      <w:spacing w:after="120"/>
    </w:pPr>
    <w:rPr>
      <w:sz w:val="16"/>
      <w:szCs w:val="16"/>
    </w:rPr>
  </w:style>
  <w:style w:type="paragraph" w:styleId="825">
    <w:name w:val="目录 2"/>
    <w:basedOn w:val="801"/>
    <w:next w:val="801"/>
    <w:link w:val="801"/>
    <w:uiPriority w:val="39"/>
    <w:pPr>
      <w:ind w:left="420"/>
    </w:pPr>
  </w:style>
  <w:style w:type="paragraph" w:styleId="826">
    <w:name w:val="普通(网站)"/>
    <w:basedOn w:val="801"/>
    <w:next w:val="826"/>
    <w:link w:val="801"/>
    <w:pPr>
      <w:ind w:left="0" w:right="0"/>
      <w:jc w:val="left"/>
      <w:spacing w:before="100" w:beforeAutospacing="1" w:after="100" w:afterAutospacing="1"/>
    </w:pPr>
    <w:rPr>
      <w:sz w:val="24"/>
      <w:lang w:val="en-US" w:eastAsia="zh-CN" w:bidi="ar"/>
    </w:rPr>
  </w:style>
  <w:style w:type="paragraph" w:styleId="827">
    <w:name w:val="批注主题"/>
    <w:basedOn w:val="810"/>
    <w:next w:val="810"/>
    <w:link w:val="828"/>
    <w:rPr>
      <w:b/>
      <w:bCs/>
    </w:rPr>
  </w:style>
  <w:style w:type="character" w:styleId="828">
    <w:name w:val="批注主题 Char"/>
    <w:next w:val="828"/>
    <w:link w:val="827"/>
    <w:rPr>
      <w:b/>
      <w:bCs/>
      <w:sz w:val="21"/>
      <w:szCs w:val="24"/>
    </w:rPr>
  </w:style>
  <w:style w:type="paragraph" w:styleId="829">
    <w:name w:val="正文首行缩进 2"/>
    <w:basedOn w:val="814"/>
    <w:next w:val="812"/>
    <w:link w:val="801"/>
    <w:qFormat/>
    <w:pPr>
      <w:ind w:firstLine="200"/>
      <w:jc w:val="left"/>
    </w:pPr>
    <w:rPr>
      <w:rFonts w:ascii="宋体" w:hAnsi="宋体"/>
      <w:sz w:val="21"/>
    </w:rPr>
  </w:style>
  <w:style w:type="table" w:styleId="830">
    <w:name w:val="网格型"/>
    <w:basedOn w:val="807"/>
    <w:next w:val="830"/>
    <w:link w:val="801"/>
    <w:uiPriority w:val="99"/>
    <w:qFormat/>
    <w:tblPr/>
  </w:style>
  <w:style w:type="character" w:styleId="831">
    <w:name w:val="页码"/>
    <w:next w:val="831"/>
    <w:link w:val="801"/>
    <w:unhideWhenUsed/>
    <w:qFormat/>
    <w:rPr>
      <w:rFonts w:ascii="Times New Roman" w:hAnsi="Times New Roman" w:cs="Times New Roman"/>
    </w:rPr>
  </w:style>
  <w:style w:type="character" w:styleId="832">
    <w:name w:val="超链接"/>
    <w:next w:val="832"/>
    <w:link w:val="801"/>
    <w:uiPriority w:val="99"/>
    <w:unhideWhenUsed/>
    <w:rPr>
      <w:color w:val="0563c1"/>
      <w:u w:val="single"/>
    </w:rPr>
  </w:style>
  <w:style w:type="character" w:styleId="833">
    <w:name w:val="批注引用"/>
    <w:next w:val="833"/>
    <w:link w:val="801"/>
    <w:rPr>
      <w:sz w:val="21"/>
      <w:szCs w:val="21"/>
    </w:rPr>
  </w:style>
  <w:style w:type="character" w:styleId="834">
    <w:name w:val="16"/>
    <w:next w:val="834"/>
    <w:link w:val="801"/>
    <w:qFormat/>
    <w:rPr>
      <w:rFonts w:ascii="Times New Roman" w:hAnsi="Times New Roman" w:cs="Times New Roman"/>
      <w:sz w:val="21"/>
      <w:szCs w:val="21"/>
    </w:rPr>
  </w:style>
  <w:style w:type="paragraph" w:styleId="835">
    <w:name w:val="二级无"/>
    <w:basedOn w:val="836"/>
    <w:next w:val="835"/>
    <w:link w:val="801"/>
    <w:qFormat/>
    <w:pPr>
      <w:numPr>
        <w:ilvl w:val="2"/>
        <w:numId w:val="1"/>
      </w:numPr>
    </w:pPr>
    <w:rPr>
      <w:rFonts w:ascii="宋体" w:eastAsia="宋体"/>
    </w:rPr>
  </w:style>
  <w:style w:type="paragraph" w:styleId="836">
    <w:name w:val="二级条标题"/>
    <w:basedOn w:val="837"/>
    <w:next w:val="838"/>
    <w:link w:val="801"/>
    <w:qFormat/>
    <w:pPr>
      <w:outlineLvl w:val="3"/>
    </w:pPr>
  </w:style>
  <w:style w:type="paragraph" w:styleId="837">
    <w:name w:val="一级条标题"/>
    <w:next w:val="838"/>
    <w:link w:val="801"/>
    <w:qFormat/>
    <w:pPr>
      <w:outlineLvl w:val="2"/>
    </w:pPr>
    <w:rPr>
      <w:rFonts w:eastAsia="黑体"/>
      <w:sz w:val="21"/>
      <w:lang w:val="en-US" w:eastAsia="zh-CN" w:bidi="ar-SA"/>
    </w:rPr>
  </w:style>
  <w:style w:type="paragraph" w:styleId="838">
    <w:name w:val="段"/>
    <w:next w:val="838"/>
    <w:link w:val="801"/>
    <w:qFormat/>
    <w:pPr>
      <w:ind w:firstLine="200"/>
      <w:jc w:val="both"/>
    </w:pPr>
    <w:rPr>
      <w:rFonts w:ascii="宋体"/>
      <w:sz w:val="21"/>
      <w:lang w:val="en-US" w:eastAsia="zh-CN" w:bidi="ar-SA"/>
    </w:rPr>
  </w:style>
  <w:style w:type="paragraph" w:styleId="839">
    <w:name w:val="三级无"/>
    <w:basedOn w:val="840"/>
    <w:next w:val="839"/>
    <w:link w:val="801"/>
    <w:qFormat/>
    <w:pPr>
      <w:ind w:left="0"/>
    </w:pPr>
    <w:rPr>
      <w:rFonts w:ascii="宋体" w:eastAsia="宋体"/>
    </w:rPr>
  </w:style>
  <w:style w:type="paragraph" w:styleId="840">
    <w:name w:val="三级条标题"/>
    <w:basedOn w:val="836"/>
    <w:next w:val="838"/>
    <w:link w:val="801"/>
    <w:qFormat/>
    <w:pPr>
      <w:ind w:left="1620"/>
      <w:outlineLvl w:val="4"/>
    </w:pPr>
  </w:style>
  <w:style w:type="paragraph" w:styleId="841">
    <w:name w:val="章标题"/>
    <w:next w:val="838"/>
    <w:link w:val="801"/>
    <w:qFormat/>
    <w:pPr>
      <w:jc w:val="both"/>
      <w:outlineLvl w:val="1"/>
    </w:pPr>
    <w:rPr>
      <w:rFonts w:ascii="黑体" w:eastAsia="黑体"/>
      <w:sz w:val="21"/>
      <w:lang w:val="en-US" w:eastAsia="zh-CN" w:bidi="ar-SA"/>
    </w:rPr>
  </w:style>
  <w:style w:type="paragraph" w:styleId="842">
    <w:name w:val="图说"/>
    <w:basedOn w:val="801"/>
    <w:next w:val="842"/>
    <w:link w:val="801"/>
    <w:qFormat/>
    <w:pPr>
      <w:jc w:val="center"/>
      <w:spacing w:before="60" w:after="160" w:line="312" w:lineRule="exact"/>
      <w:widowControl w:val="off"/>
    </w:pPr>
    <w:rPr>
      <w:rFonts w:ascii="EU-F1" w:hAnsi="Times New Roman" w:eastAsia="黑体"/>
      <w:sz w:val="20"/>
      <w:szCs w:val="21"/>
    </w:rPr>
  </w:style>
  <w:style w:type="paragraph" w:styleId="843">
    <w:name w:val="图片"/>
    <w:basedOn w:val="801"/>
    <w:next w:val="843"/>
    <w:link w:val="801"/>
    <w:qFormat/>
    <w:pPr>
      <w:jc w:val="center"/>
      <w:spacing w:before="160" w:after="60" w:line="240" w:lineRule="auto"/>
      <w:widowControl w:val="off"/>
    </w:pPr>
    <w:rPr>
      <w:rFonts w:ascii="Times New Roman" w:hAnsi="Times New Roman"/>
      <w:sz w:val="20"/>
      <w:szCs w:val="21"/>
    </w:rPr>
  </w:style>
  <w:style w:type="paragraph" w:styleId="844">
    <w:name w:val="样式2"/>
    <w:basedOn w:val="801"/>
    <w:next w:val="844"/>
    <w:link w:val="801"/>
    <w:qFormat/>
    <w:pPr>
      <w:jc w:val="center"/>
      <w:spacing w:before="120" w:after="120" w:line="312" w:lineRule="atLeast"/>
    </w:pPr>
    <w:rPr>
      <w:sz w:val="24"/>
      <w:szCs w:val="20"/>
    </w:rPr>
  </w:style>
  <w:style w:type="paragraph" w:styleId="845">
    <w:name w:val="1a"/>
    <w:basedOn w:val="801"/>
    <w:next w:val="845"/>
    <w:link w:val="801"/>
    <w:qFormat/>
    <w:pPr>
      <w:jc w:val="left"/>
      <w:spacing w:line="480" w:lineRule="auto"/>
      <w:widowControl/>
    </w:pPr>
    <w:rPr>
      <w:rFonts w:ascii="EU-F1" w:hAnsi="Times New Roman" w:eastAsia="黑体"/>
      <w:color w:val="000000"/>
      <w:szCs w:val="21"/>
    </w:rPr>
  </w:style>
  <w:style w:type="paragraph" w:styleId="846">
    <w:name w:val="表头"/>
    <w:basedOn w:val="801"/>
    <w:next w:val="846"/>
    <w:link w:val="801"/>
    <w:qFormat/>
    <w:pPr>
      <w:spacing w:before="120" w:after="60" w:line="420" w:lineRule="atLeast"/>
    </w:pPr>
    <w:rPr>
      <w:rFonts w:ascii="黑体" w:eastAsia="黑体"/>
      <w:b/>
      <w:szCs w:val="20"/>
    </w:rPr>
  </w:style>
  <w:style w:type="paragraph" w:styleId="847">
    <w:name w:val="样式1"/>
    <w:next w:val="847"/>
    <w:link w:val="801"/>
    <w:qFormat/>
    <w:pPr>
      <w:jc w:val="center"/>
      <w:spacing w:line="480" w:lineRule="auto"/>
      <w:outlineLvl w:val="1"/>
    </w:pPr>
    <w:rPr>
      <w:rFonts w:ascii="黑体" w:eastAsia="黑体"/>
      <w:b/>
      <w:bCs/>
      <w:spacing w:val="16"/>
      <w:sz w:val="30"/>
      <w:szCs w:val="30"/>
      <w:lang w:val="en-US" w:eastAsia="zh-CN" w:bidi="ar-SA"/>
    </w:rPr>
  </w:style>
  <w:style w:type="paragraph" w:styleId="848">
    <w:name w:val="前言、引言标题"/>
    <w:next w:val="801"/>
    <w:link w:val="801"/>
    <w:qFormat/>
    <w:pPr>
      <w:jc w:val="center"/>
      <w:spacing w:before="640" w:after="560"/>
      <w:shd w:val="clear" w:color="auto" w:fill="ffffff"/>
      <w:outlineLvl w:val="0"/>
    </w:pPr>
    <w:rPr>
      <w:rFonts w:ascii="黑体" w:eastAsia="黑体"/>
      <w:sz w:val="32"/>
      <w:lang w:val="en-US" w:eastAsia="zh-CN" w:bidi="ar-SA"/>
    </w:rPr>
  </w:style>
  <w:style w:type="paragraph" w:styleId="849">
    <w:name w:val="Plain Text"/>
    <w:basedOn w:val="801"/>
    <w:next w:val="849"/>
    <w:link w:val="801"/>
    <w:qFormat/>
    <w:rPr>
      <w:rFonts w:ascii="宋体" w:hAnsi="Courier New" w:cs="Courier New"/>
      <w:sz w:val="21"/>
      <w:szCs w:val="21"/>
    </w:rPr>
  </w:style>
  <w:style w:type="paragraph" w:styleId="850">
    <w:name w:val="_Style 135"/>
    <w:basedOn w:val="801"/>
    <w:next w:val="851"/>
    <w:link w:val="801"/>
    <w:uiPriority w:val="1"/>
    <w:qFormat/>
    <w:pPr>
      <w:ind w:firstLine="420"/>
    </w:pPr>
  </w:style>
  <w:style w:type="paragraph" w:styleId="851">
    <w:name w:val="列出段落"/>
    <w:basedOn w:val="801"/>
    <w:next w:val="851"/>
    <w:link w:val="801"/>
    <w:uiPriority w:val="34"/>
    <w:qFormat/>
    <w:pPr>
      <w:ind w:firstLine="420"/>
    </w:pPr>
    <w:rPr>
      <w:rFonts w:ascii="Calibri" w:hAnsi="Calibri"/>
      <w:szCs w:val="22"/>
    </w:rPr>
  </w:style>
  <w:style w:type="paragraph" w:styleId="852">
    <w:name w:val="Table Paragraph"/>
    <w:basedOn w:val="801"/>
    <w:next w:val="852"/>
    <w:link w:val="801"/>
    <w:uiPriority w:val="1"/>
    <w:qFormat/>
    <w:pPr>
      <w:jc w:val="left"/>
    </w:pPr>
    <w:rPr>
      <w:rFonts w:ascii="宋体" w:hAnsi="宋体" w:cs="宋体"/>
      <w:sz w:val="22"/>
      <w:szCs w:val="22"/>
      <w:lang w:val="zh-CN" w:bidi="zh-CN"/>
    </w:rPr>
  </w:style>
  <w:style w:type="paragraph" w:styleId="853">
    <w:name w:val="格式３"/>
    <w:basedOn w:val="801"/>
    <w:next w:val="853"/>
    <w:link w:val="801"/>
    <w:uiPriority w:val="99"/>
    <w:qFormat/>
    <w:pPr>
      <w:ind w:left="600" w:hanging="600"/>
      <w:spacing w:line="420" w:lineRule="exact"/>
    </w:pPr>
    <w:rPr>
      <w:rFonts w:ascii="宋体" w:hAnsi="宋体"/>
      <w:color w:val="000000"/>
      <w:sz w:val="24"/>
      <w:szCs w:val="20"/>
    </w:rPr>
  </w:style>
  <w:style w:type="paragraph" w:styleId="854">
    <w:name w:val="目次、标准名称标题"/>
    <w:basedOn w:val="848"/>
    <w:next w:val="801"/>
    <w:link w:val="801"/>
    <w:qFormat/>
    <w:pPr>
      <w:spacing w:line="460" w:lineRule="exact"/>
      <w:outlineLvl w:val="9"/>
    </w:pPr>
  </w:style>
  <w:style w:type="paragraph" w:styleId="855">
    <w:name w:val="Blockquote"/>
    <w:basedOn w:val="801"/>
    <w:next w:val="855"/>
    <w:link w:val="801"/>
    <w:qFormat/>
    <w:pPr>
      <w:ind w:left="360" w:right="360"/>
      <w:jc w:val="left"/>
      <w:spacing w:before="100" w:after="100"/>
    </w:pPr>
    <w:rPr>
      <w:sz w:val="24"/>
      <w:szCs w:val="20"/>
    </w:rPr>
  </w:style>
  <w:style w:type="paragraph" w:styleId="856">
    <w:name w:val="正文_0"/>
    <w:next w:val="856"/>
    <w:link w:val="801"/>
    <w:qFormat/>
    <w:pPr>
      <w:jc w:val="both"/>
      <w:widowControl w:val="off"/>
    </w:pPr>
    <w:rPr>
      <w:sz w:val="21"/>
      <w:szCs w:val="22"/>
      <w:lang w:val="en-US" w:eastAsia="zh-CN" w:bidi="ar-SA"/>
    </w:rPr>
  </w:style>
  <w:style w:type="paragraph" w:styleId="857">
    <w:name w:val="普通正文"/>
    <w:basedOn w:val="801"/>
    <w:next w:val="857"/>
    <w:link w:val="801"/>
    <w:qFormat/>
    <w:pPr>
      <w:ind w:firstLine="480"/>
      <w:jc w:val="left"/>
      <w:spacing w:before="120" w:after="120" w:line="360" w:lineRule="auto"/>
    </w:pPr>
    <w:rPr>
      <w:rFonts w:ascii="Arial" w:hAnsi="Arial"/>
      <w:sz w:val="24"/>
    </w:rPr>
  </w:style>
  <w:style w:type="paragraph" w:styleId="858">
    <w:name w:val="首行缩进"/>
    <w:basedOn w:val="801"/>
    <w:next w:val="858"/>
    <w:link w:val="801"/>
    <w:qFormat/>
    <w:pPr>
      <w:ind w:firstLine="480"/>
      <w:jc w:val="left"/>
      <w:spacing w:line="360" w:lineRule="auto"/>
    </w:pPr>
    <w:rPr>
      <w:rFonts w:ascii="宋体" w:hAnsi="宋体"/>
      <w:sz w:val="24"/>
      <w:szCs w:val="24"/>
    </w:rPr>
  </w:style>
  <w:style w:type="paragraph" w:styleId="859">
    <w:name w:val="列出段落11"/>
    <w:basedOn w:val="801"/>
    <w:next w:val="859"/>
    <w:link w:val="801"/>
    <w:uiPriority w:val="99"/>
    <w:semiHidden/>
    <w:qFormat/>
    <w:pPr>
      <w:ind w:firstLine="420"/>
      <w:spacing w:before="40" w:after="160"/>
      <w:widowControl/>
    </w:pPr>
    <w:rPr>
      <w:rFonts w:ascii="Cambria" w:hAnsi="Cambria" w:eastAsia="微软雅黑" w:cs="Cambria"/>
      <w:color w:val="565656"/>
      <w:szCs w:val="21"/>
      <w:lang w:val="zh-CN"/>
    </w:rPr>
  </w:style>
  <w:style w:type="paragraph" w:styleId="860">
    <w:name w:val="无间隔1"/>
    <w:next w:val="860"/>
    <w:link w:val="801"/>
    <w:uiPriority w:val="1"/>
    <w:qFormat/>
    <w:pPr>
      <w:ind w:firstLine="200"/>
      <w:widowControl w:val="off"/>
    </w:pPr>
    <w:rPr>
      <w:color w:val="7030a0"/>
      <w:sz w:val="24"/>
      <w:szCs w:val="24"/>
      <w:lang w:val="en-US" w:eastAsia="zh-CN" w:bidi="ar-SA"/>
    </w:rPr>
  </w:style>
  <w:style w:type="paragraph" w:styleId="861">
    <w:name w:val="正文表标题"/>
    <w:next w:val="838"/>
    <w:link w:val="801"/>
    <w:qFormat/>
    <w:pPr>
      <w:numPr>
        <w:ilvl w:val="0"/>
        <w:numId w:val="2"/>
      </w:numPr>
      <w:jc w:val="center"/>
      <w:tabs>
        <w:tab w:val="left" w:pos="1200" w:leader="none"/>
      </w:tabs>
    </w:pPr>
    <w:rPr>
      <w:rFonts w:ascii="黑体" w:eastAsia="黑体"/>
      <w:sz w:val="21"/>
      <w:lang w:val="en-US" w:eastAsia="zh-CN" w:bidi="ar-SA"/>
    </w:rPr>
  </w:style>
  <w:style w:type="paragraph" w:styleId="862">
    <w:name w:val="Default"/>
    <w:next w:val="862"/>
    <w:link w:val="801"/>
    <w:pPr>
      <w:widowControl w:val="off"/>
    </w:pPr>
    <w:rPr>
      <w:rFonts w:ascii="宋体" w:cs="宋体"/>
      <w:color w:val="000000"/>
      <w:sz w:val="24"/>
      <w:szCs w:val="24"/>
      <w:lang w:val="en-US" w:eastAsia="zh-CN" w:bidi="ar-SA"/>
    </w:rPr>
  </w:style>
  <w:style w:type="paragraph" w:styleId="863">
    <w:name w:val="正文_5"/>
    <w:next w:val="864"/>
    <w:link w:val="801"/>
    <w:qFormat/>
    <w:pPr>
      <w:jc w:val="both"/>
      <w:widowControl w:val="off"/>
    </w:pPr>
    <w:rPr>
      <w:rFonts w:ascii="Calibri" w:hAnsi="Calibri"/>
      <w:sz w:val="21"/>
      <w:szCs w:val="22"/>
      <w:lang w:val="en-US" w:eastAsia="zh-CN" w:bidi="ar-SA"/>
    </w:rPr>
  </w:style>
  <w:style w:type="paragraph" w:styleId="864">
    <w:name w:val="标题 3_1"/>
    <w:basedOn w:val="863"/>
    <w:next w:val="863"/>
    <w:link w:val="801"/>
    <w:qFormat/>
    <w:pPr>
      <w:keepLines/>
      <w:keepNext/>
      <w:spacing w:before="260" w:after="260" w:line="416" w:lineRule="auto"/>
      <w:outlineLvl w:val="2"/>
    </w:pPr>
    <w:rPr>
      <w:rFonts w:ascii="Times New Roman" w:hAnsi="Times New Roman"/>
      <w:b/>
      <w:bCs/>
      <w:sz w:val="32"/>
      <w:szCs w:val="32"/>
    </w:rPr>
  </w:style>
  <w:style w:type="paragraph" w:styleId="865">
    <w:name w:val="标题3"/>
    <w:basedOn w:val="801"/>
    <w:next w:val="865"/>
    <w:link w:val="801"/>
    <w:qFormat/>
    <w:pPr>
      <w:jc w:val="center"/>
      <w:pageBreakBefore/>
      <w:outlineLvl w:val="2"/>
    </w:pPr>
    <w:rPr>
      <w:rFonts w:ascii="黑体" w:hAnsi="黑体" w:eastAsia="黑体"/>
      <w:b/>
      <w:sz w:val="32"/>
      <w:szCs w:val="32"/>
    </w:rPr>
  </w:style>
  <w:style w:type="paragraph" w:styleId="866">
    <w:name w:val="标题 51"/>
    <w:basedOn w:val="801"/>
    <w:next w:val="866"/>
    <w:link w:val="801"/>
    <w:uiPriority w:val="1"/>
    <w:qFormat/>
    <w:pPr>
      <w:ind w:left="332"/>
      <w:jc w:val="left"/>
      <w:outlineLvl w:val="5"/>
    </w:pPr>
    <w:rPr>
      <w:rFonts w:ascii="微软雅黑" w:hAnsi="微软雅黑" w:eastAsia="微软雅黑" w:cs="微软雅黑"/>
      <w:b/>
      <w:bCs/>
      <w:sz w:val="24"/>
      <w:lang w:val="zh-CN" w:bidi="zh-CN"/>
    </w:rPr>
  </w:style>
  <w:style w:type="paragraph" w:styleId="867">
    <w:name w:val="修订"/>
    <w:next w:val="867"/>
    <w:link w:val="801"/>
    <w:uiPriority w:val="99"/>
    <w:unhideWhenUsed/>
    <w:rPr>
      <w:sz w:val="21"/>
      <w:szCs w:val="24"/>
      <w:lang w:val="en-US" w:eastAsia="zh-CN" w:bidi="ar-SA"/>
    </w:rPr>
  </w:style>
  <w:style w:type="paragraph" w:styleId="868">
    <w:name w:val="Table Text"/>
    <w:basedOn w:val="801"/>
    <w:next w:val="868"/>
    <w:link w:val="801"/>
    <w:semiHidden/>
    <w:qFormat/>
    <w:rPr>
      <w:rFonts w:ascii="宋体" w:hAnsi="宋体" w:eastAsia="宋体" w:cs="宋体"/>
      <w:sz w:val="28"/>
      <w:szCs w:val="28"/>
      <w:lang w:val="en-US" w:eastAsia="en-US" w:bidi="ar-SA"/>
    </w:rPr>
  </w:style>
  <w:style w:type="paragraph" w:styleId="869">
    <w:name w:val="正文1"/>
    <w:next w:val="869"/>
    <w:link w:val="801"/>
    <w:qFormat/>
    <w:pPr>
      <w:jc w:val="both"/>
    </w:pPr>
    <w:rPr>
      <w:rFonts w:cs="Calibri"/>
      <w:sz w:val="21"/>
      <w:szCs w:val="21"/>
      <w:lang w:val="en-US" w:eastAsia="zh-CN" w:bidi="ar-SA"/>
    </w:rPr>
  </w:style>
  <w:style w:type="paragraph" w:styleId="870">
    <w:name w:val="Heading 4"/>
    <w:next w:val="869"/>
    <w:link w:val="801"/>
    <w:qFormat/>
    <w:pPr>
      <w:jc w:val="both"/>
      <w:keepLines/>
      <w:keepNext/>
      <w:spacing w:before="280" w:after="290" w:line="372" w:lineRule="auto"/>
      <w:widowControl w:val="off"/>
      <w:outlineLvl w:val="3"/>
    </w:pPr>
    <w:rPr>
      <w:rFonts w:ascii="Arial" w:hAnsi="Arial" w:eastAsia="黑体" w:cs="Calibri"/>
      <w:b/>
      <w:sz w:val="28"/>
      <w:lang w:val="en-US" w:eastAsia="zh-CN" w:bidi="ar-SA"/>
    </w:rPr>
  </w:style>
  <w:style w:type="character" w:styleId="871">
    <w:name w:val="font41"/>
    <w:basedOn w:val="806"/>
    <w:next w:val="871"/>
    <w:link w:val="801"/>
    <w:rPr>
      <w:rFonts w:hint="eastAsia" w:ascii="宋体" w:hAnsi="宋体" w:eastAsia="宋体" w:cs="宋体"/>
      <w:i w:val="0"/>
      <w:iCs w:val="0"/>
      <w:color w:val="000000"/>
      <w:sz w:val="18"/>
      <w:szCs w:val="18"/>
      <w:u w:val="none"/>
    </w:rPr>
  </w:style>
  <w:style w:type="character" w:styleId="872">
    <w:name w:val="font51"/>
    <w:basedOn w:val="806"/>
    <w:next w:val="872"/>
    <w:link w:val="801"/>
    <w:rPr>
      <w:rFonts w:hint="eastAsia" w:ascii="宋体" w:hAnsi="宋体" w:eastAsia="宋体" w:cs="宋体"/>
      <w:b/>
      <w:bCs/>
      <w:i w:val="0"/>
      <w:iCs w:val="0"/>
      <w:color w:val="000000"/>
      <w:sz w:val="18"/>
      <w:szCs w:val="18"/>
      <w:u w:val="none"/>
    </w:rPr>
  </w:style>
  <w:style w:type="character" w:styleId="873">
    <w:name w:val="NormalCharacter1"/>
    <w:next w:val="873"/>
    <w:link w:val="801"/>
    <w:qFormat/>
  </w:style>
  <w:style w:type="character" w:styleId="25010" w:default="1">
    <w:name w:val="Default Paragraph Font"/>
    <w:uiPriority w:val="1"/>
    <w:semiHidden/>
    <w:unhideWhenUsed/>
  </w:style>
  <w:style w:type="numbering" w:styleId="25011" w:default="1">
    <w:name w:val="No List"/>
    <w:uiPriority w:val="99"/>
    <w:semiHidden/>
    <w:unhideWhenUsed/>
  </w:style>
  <w:style w:type="table" w:styleId="2501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Vig</dc:creator>
  <cp:lastModifiedBy>姚晨</cp:lastModifiedBy>
  <cp:revision>3</cp:revision>
  <dcterms:created xsi:type="dcterms:W3CDTF">2026-05-02T08:32:00Z</dcterms:created>
  <dcterms:modified xsi:type="dcterms:W3CDTF">2026-06-12T01:59:58Z</dcterms:modified>
</cp:coreProperties>
</file>